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3D1D">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3AD5315E">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758D78CC">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0D937C78">
      <w:pPr>
        <w:adjustRightInd w:val="0"/>
        <w:snapToGrid w:val="0"/>
        <w:spacing w:line="590" w:lineRule="exact"/>
        <w:ind w:firstLine="640" w:firstLineChars="200"/>
        <w:jc w:val="center"/>
        <w:rPr>
          <w:lang w:val="zh-CN"/>
        </w:rPr>
      </w:pPr>
      <w:r>
        <w:rPr>
          <w:rFonts w:hint="eastAsia"/>
          <w:lang w:val="zh-CN"/>
        </w:rPr>
        <w:t>（仲裁案件办理专项经费）</w:t>
      </w:r>
    </w:p>
    <w:p w14:paraId="1F560B86">
      <w:pPr>
        <w:pStyle w:val="2"/>
        <w:bidi w:val="0"/>
        <w:rPr>
          <w:lang w:val="zh-CN"/>
        </w:rPr>
      </w:pPr>
      <w:r>
        <w:t>一、</w:t>
      </w:r>
      <w:r>
        <w:rPr>
          <w:lang w:val="zh-CN"/>
        </w:rPr>
        <w:t>项目概况</w:t>
      </w:r>
    </w:p>
    <w:p w14:paraId="7356EF61">
      <w:pPr>
        <w:pStyle w:val="3"/>
        <w:bidi w:val="0"/>
        <w:rPr>
          <w:lang w:val="zh-CN"/>
        </w:rPr>
      </w:pPr>
      <w:r>
        <w:rPr>
          <w:lang w:val="zh-CN"/>
        </w:rPr>
        <w:t>（一）项目基本情况。</w:t>
      </w:r>
    </w:p>
    <w:p w14:paraId="3A642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仲裁案件办案经费(专项经费）：2022年仲裁案件办案专项经费是根据国办法（1995）44号文件的相关规定由市财政局以“财政补助性拔款”的方式预算。该项目经费主要用于给付仲裁员报酬；仲裁员因办理仲裁案件出差的差旅费；证人、鉴定人等因出庭而支出的相关费用；支付宣传仲裁法律制度，办理仲案件相关的印刷、复制、送达、维护网络运行；维修、维护办案用电子设备；支付仲裁办案秘书相关费用；支付专家咨费等相关费用。该</w:t>
      </w:r>
      <w:r>
        <w:rPr>
          <w:rFonts w:hint="eastAsia" w:ascii="仿宋" w:hAnsi="仿宋" w:eastAsia="仿宋" w:cs="仿宋"/>
          <w:sz w:val="32"/>
          <w:szCs w:val="32"/>
        </w:rPr>
        <w:t>项目预算资金</w:t>
      </w:r>
      <w:r>
        <w:rPr>
          <w:rFonts w:hint="eastAsia" w:ascii="仿宋" w:hAnsi="仿宋" w:eastAsia="仿宋" w:cs="仿宋"/>
          <w:sz w:val="32"/>
          <w:szCs w:val="32"/>
          <w:lang w:val="en-US" w:eastAsia="zh-CN"/>
        </w:rPr>
        <w:t>56</w:t>
      </w:r>
      <w:r>
        <w:rPr>
          <w:rFonts w:hint="eastAsia" w:ascii="仿宋" w:hAnsi="仿宋" w:eastAsia="仿宋" w:cs="仿宋"/>
          <w:sz w:val="32"/>
          <w:szCs w:val="32"/>
        </w:rPr>
        <w:t>万元，其中:</w:t>
      </w:r>
      <w:r>
        <w:rPr>
          <w:rFonts w:hint="eastAsia" w:ascii="仿宋" w:hAnsi="仿宋" w:eastAsia="仿宋" w:cs="仿宋"/>
          <w:sz w:val="32"/>
          <w:szCs w:val="32"/>
          <w:lang w:eastAsia="zh-CN"/>
        </w:rPr>
        <w:t>市级财政补助</w:t>
      </w:r>
      <w:r>
        <w:rPr>
          <w:rFonts w:hint="eastAsia" w:ascii="仿宋" w:hAnsi="仿宋" w:eastAsia="仿宋" w:cs="仿宋"/>
          <w:sz w:val="32"/>
          <w:szCs w:val="32"/>
        </w:rPr>
        <w:t>资金</w:t>
      </w:r>
      <w:r>
        <w:rPr>
          <w:rFonts w:hint="eastAsia" w:ascii="仿宋" w:hAnsi="仿宋" w:eastAsia="仿宋" w:cs="仿宋"/>
          <w:sz w:val="32"/>
          <w:szCs w:val="32"/>
          <w:lang w:val="en-US" w:eastAsia="zh-CN"/>
        </w:rPr>
        <w:t>56</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776C9ACD">
      <w:pPr>
        <w:pStyle w:val="3"/>
        <w:bidi w:val="0"/>
        <w:rPr>
          <w:lang w:val="zh-CN"/>
        </w:rPr>
      </w:pPr>
      <w:r>
        <w:rPr>
          <w:lang w:val="zh-CN"/>
        </w:rPr>
        <w:t>（二）项目绩效目标。</w:t>
      </w:r>
    </w:p>
    <w:p w14:paraId="65EC25EC">
      <w:pPr>
        <w:keepNext w:val="0"/>
        <w:keepLines w:val="0"/>
        <w:pageBreakBefore w:val="0"/>
        <w:widowControl w:val="0"/>
        <w:kinsoku/>
        <w:wordWrap/>
        <w:overflowPunct/>
        <w:topLinePunct w:val="0"/>
        <w:autoSpaceDE/>
        <w:autoSpaceDN/>
        <w:bidi w:val="0"/>
        <w:adjustRightInd/>
        <w:snapToGrid/>
        <w:ind w:firstLine="640" w:firstLineChars="200"/>
        <w:textAlignment w:val="auto"/>
        <w:rPr>
          <w:lang w:val="zh-CN"/>
        </w:rPr>
      </w:pPr>
      <w:r>
        <w:rPr>
          <w:lang w:val="zh-CN"/>
        </w:rPr>
        <w:t>1</w:t>
      </w:r>
      <w:r>
        <w:rPr>
          <w:rFonts w:hint="eastAsia"/>
          <w:lang w:val="zh-CN"/>
        </w:rPr>
        <w:t xml:space="preserve">. </w:t>
      </w:r>
      <w:r>
        <w:rPr>
          <w:lang w:val="zh-CN"/>
        </w:rPr>
        <w:t>项目主要内容。</w:t>
      </w:r>
    </w:p>
    <w:p w14:paraId="7C84EDD7">
      <w:pPr>
        <w:keepNext w:val="0"/>
        <w:keepLines w:val="0"/>
        <w:pageBreakBefore w:val="0"/>
        <w:widowControl w:val="0"/>
        <w:kinsoku/>
        <w:wordWrap/>
        <w:overflowPunct/>
        <w:topLinePunct w:val="0"/>
        <w:autoSpaceDE/>
        <w:autoSpaceDN/>
        <w:bidi w:val="0"/>
        <w:adjustRightInd/>
        <w:snapToGrid/>
        <w:ind w:firstLine="640" w:firstLineChars="200"/>
        <w:textAlignment w:val="auto"/>
        <w:rPr>
          <w:lang w:val="zh-CN"/>
        </w:rPr>
      </w:pPr>
      <w:r>
        <w:rPr>
          <w:rFonts w:hint="eastAsia" w:ascii="仿宋" w:hAnsi="仿宋" w:eastAsia="仿宋" w:cs="仿宋"/>
          <w:sz w:val="32"/>
          <w:szCs w:val="32"/>
          <w:lang w:val="en-US" w:eastAsia="zh-CN"/>
        </w:rPr>
        <w:t>宣传、贯彻《仲裁法》和相关法律法规，推行仲裁法律制度; 负责承办仲裁委员会主任会议、委员会会议、仲裁委员会换届及仲裁员的培训等工作;具体办理仲裁案件受理、仲裁文书送达、档案管理等程序性事务;收取和管理仲裁费用; 办理国务院、省政府、市政府司法部门和市委、市政府交办的有关工作;办理仲裁委员会交办的其他事务。</w:t>
      </w:r>
    </w:p>
    <w:p w14:paraId="15A33898">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4BED2E67">
      <w:pPr>
        <w:keepNext w:val="0"/>
        <w:keepLines w:val="0"/>
        <w:pageBreakBefore w:val="0"/>
        <w:widowControl w:val="0"/>
        <w:kinsoku/>
        <w:wordWrap/>
        <w:overflowPunct/>
        <w:topLinePunct w:val="0"/>
        <w:autoSpaceDE/>
        <w:autoSpaceDN/>
        <w:bidi w:val="0"/>
        <w:adjustRightInd/>
        <w:snapToGrid/>
        <w:ind w:firstLine="640" w:firstLineChars="200"/>
        <w:textAlignment w:val="auto"/>
        <w:rPr>
          <w:lang w:val="zh-CN"/>
        </w:rPr>
      </w:pPr>
      <w:r>
        <w:rPr>
          <w:rFonts w:hint="eastAsia"/>
          <w:lang w:val="zh-CN"/>
        </w:rPr>
        <w:t>2023年，遂宁仲裁委共计办理民商事仲裁案件273件,其中新收案件249件，同比增长66%；涉案标的5.76亿元。办结案件193件，平均办理用时51.78天；新收案件审限内办结率97.4%；通过调解、和解方式结案130件，调解和解率76.9%。二是聚焦突出矛盾改进工作方法。针对长期未办结疑难复杂案件进行督办，制定详细办案计划，5件长期未办结案件得到有效化解。三是进一步减费，降低当事人矛盾纠纷化解成本。修订《遂宁仲裁委员会收费管理办法》（以下简称《收费管理办法》），修订后的《收费管理办法》调整了案件标的在100万以上案件的收费标准，新增了金融仲裁案件以及驻人民法院调解室调解案件的收费优惠条款，有利于扩大金融仲裁案件和驻人民法院调解室案件调解的成功率，大大降低了当事人的仲裁成本。新的《收费管理办法》实施以来，船山法院调解室案件调解成功率提升了37%。创新工作方法，不断拓宽仲裁服务领域。一是推进四型仲裁建设，擦亮遂仲品牌。确立了打造“服务型”、质量型”、“开放型”、“清廉型”仲裁的品牌建设思路，着力从服务意识、质量提升、延伸服务、管理机制四个方面加强仲裁建设，全力打造遂宁仲裁品牌形象，并力争让每一个仲裁案件体现公平正义，提升遂宁仲裁公信力、影响力。二是健全诉讼与仲裁衔接机制，积极融入诉源治理。深度融入人民法院的诉前调解，大力推动遂宁仲裁委员会驻船山区人民法院调解室的有效运转，与船山法院建立案件推送办理机制，实现诉前调解案件分流。</w:t>
      </w:r>
    </w:p>
    <w:p w14:paraId="1FB9F28D">
      <w:pPr>
        <w:numPr>
          <w:ilvl w:val="0"/>
          <w:numId w:val="0"/>
        </w:numPr>
        <w:adjustRightInd w:val="0"/>
        <w:snapToGrid w:val="0"/>
        <w:spacing w:line="590" w:lineRule="exact"/>
        <w:ind w:firstLine="620" w:firstLineChars="200"/>
        <w:rPr>
          <w:spacing w:val="-5"/>
          <w:lang w:val="zh-CN"/>
        </w:rPr>
      </w:pPr>
      <w:r>
        <w:rPr>
          <w:rFonts w:ascii="Times New Roman" w:hAnsi="Times New Roman" w:eastAsia="仿宋_GB2312" w:cs="Times New Roman"/>
          <w:spacing w:val="-5"/>
          <w:kern w:val="2"/>
          <w:sz w:val="32"/>
          <w:szCs w:val="24"/>
          <w:lang w:val="zh-CN" w:eastAsia="zh-CN" w:bidi="ar-SA"/>
        </w:rPr>
        <w:t>3.</w:t>
      </w:r>
      <w:r>
        <w:rPr>
          <w:spacing w:val="-5"/>
          <w:lang w:val="zh-CN"/>
        </w:rPr>
        <w:t>分析评价申报内容是否与实际相符，申报目标是否合理可行。</w:t>
      </w:r>
    </w:p>
    <w:p w14:paraId="4991F005">
      <w:pPr>
        <w:adjustRightInd w:val="0"/>
        <w:snapToGrid w:val="0"/>
        <w:spacing w:line="590" w:lineRule="exact"/>
        <w:ind w:firstLine="620" w:firstLineChars="200"/>
        <w:rPr>
          <w:spacing w:val="-5"/>
          <w:lang w:val="zh-CN"/>
        </w:rPr>
      </w:pPr>
      <w:r>
        <w:rPr>
          <w:rFonts w:hint="eastAsia"/>
          <w:spacing w:val="-5"/>
          <w:lang w:val="en-US" w:eastAsia="zh-CN"/>
        </w:rPr>
        <w:t>本项目申报内容与实际相符，申报目标合理可行。</w:t>
      </w:r>
    </w:p>
    <w:p w14:paraId="0BBE421D">
      <w:pPr>
        <w:pStyle w:val="3"/>
        <w:bidi w:val="0"/>
        <w:rPr>
          <w:lang w:val="zh-CN"/>
        </w:rPr>
      </w:pPr>
      <w:r>
        <w:rPr>
          <w:lang w:val="zh-CN"/>
        </w:rPr>
        <w:t>（三）项目自评步骤及方法。</w:t>
      </w:r>
    </w:p>
    <w:p w14:paraId="42DF6957">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夏洋</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2CF94B6A">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6DCF6D63">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411B0C1A">
      <w:pPr>
        <w:pStyle w:val="2"/>
        <w:bidi w:val="0"/>
      </w:pPr>
      <w:r>
        <w:t>二、项目资金申报及使用情况</w:t>
      </w:r>
    </w:p>
    <w:p w14:paraId="03B84C6C">
      <w:pPr>
        <w:pStyle w:val="3"/>
        <w:bidi w:val="0"/>
        <w:rPr>
          <w:lang w:val="zh-CN"/>
        </w:rPr>
      </w:pPr>
      <w:r>
        <w:rPr>
          <w:lang w:val="zh-CN"/>
        </w:rPr>
        <w:t>（一）项目资金申报及批复情况。</w:t>
      </w:r>
    </w:p>
    <w:p w14:paraId="33FF8AFC">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571FBC55">
      <w:pPr>
        <w:pStyle w:val="3"/>
        <w:bidi w:val="0"/>
        <w:rPr>
          <w:lang w:val="zh-CN"/>
        </w:rPr>
      </w:pPr>
      <w:r>
        <w:rPr>
          <w:lang w:val="zh-CN"/>
        </w:rPr>
        <w:t>（二）资金计划、到位及使用情况（可用表格形式反映）。</w:t>
      </w:r>
    </w:p>
    <w:p w14:paraId="46DF53F1">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财政预算56万。</w:t>
      </w:r>
    </w:p>
    <w:p w14:paraId="2143E258">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财政预算全部到位56万。</w:t>
      </w:r>
    </w:p>
    <w:p w14:paraId="0B70B0F9">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使用56万。</w:t>
      </w:r>
    </w:p>
    <w:p w14:paraId="7C6F5908">
      <w:pPr>
        <w:pStyle w:val="3"/>
        <w:bidi w:val="0"/>
        <w:rPr>
          <w:lang w:val="zh-CN"/>
        </w:rPr>
      </w:pPr>
      <w:r>
        <w:rPr>
          <w:lang w:val="zh-CN"/>
        </w:rPr>
        <w:t>（三）项目财务管理情况。</w:t>
      </w:r>
    </w:p>
    <w:p w14:paraId="646C6E84">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681A00D1">
      <w:pPr>
        <w:pStyle w:val="2"/>
        <w:bidi w:val="0"/>
      </w:pPr>
      <w:r>
        <w:t>三、项目实施及管理情况</w:t>
      </w:r>
    </w:p>
    <w:p w14:paraId="37982022">
      <w:pPr>
        <w:pStyle w:val="3"/>
        <w:bidi w:val="0"/>
        <w:rPr>
          <w:lang w:val="zh-CN"/>
        </w:rPr>
      </w:pPr>
      <w:r>
        <w:rPr>
          <w:lang w:val="zh-CN"/>
        </w:rPr>
        <w:t>（一）项目组织架构及实施流程。</w:t>
      </w:r>
    </w:p>
    <w:p w14:paraId="7ED1C8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val="zh-CN"/>
        </w:rPr>
      </w:pPr>
      <w:r>
        <w:rPr>
          <w:rFonts w:hint="eastAsia"/>
          <w:lang w:val="en-US" w:eastAsia="zh-CN"/>
        </w:rPr>
        <w:t>夏洋主管项目</w:t>
      </w:r>
      <w:r>
        <w:rPr>
          <w:rFonts w:hint="eastAsia"/>
          <w:lang w:val="zh-CN"/>
        </w:rPr>
        <w:t>，全面落实《案件质效管理办法》，不断提升案件办理质量和效率。2023年，遂宁仲裁委共计办理民商事仲裁案件273件,其中新收案件249件，同比增长66%；涉案标的5.76亿元。办结案件193件，平均办理用时51.78天；新收案件审限内办结率97.4%；通过调解、和解方式结案130件，调解和解率76.9%</w:t>
      </w:r>
    </w:p>
    <w:p w14:paraId="741D35A3">
      <w:pPr>
        <w:adjustRightInd w:val="0"/>
        <w:snapToGrid w:val="0"/>
        <w:spacing w:line="590" w:lineRule="exact"/>
        <w:ind w:firstLine="643" w:firstLineChars="200"/>
        <w:outlineLvl w:val="1"/>
        <w:rPr>
          <w:rStyle w:val="8"/>
          <w:lang w:val="zh-CN"/>
        </w:rPr>
      </w:pPr>
      <w:r>
        <w:rPr>
          <w:rStyle w:val="8"/>
          <w:lang w:val="zh-CN"/>
        </w:rPr>
        <w:t>（二）项目管理情况。</w:t>
      </w:r>
    </w:p>
    <w:p w14:paraId="76F29E59">
      <w:pPr>
        <w:adjustRightInd w:val="0"/>
        <w:snapToGrid w:val="0"/>
        <w:spacing w:line="590" w:lineRule="exact"/>
        <w:ind w:firstLine="640" w:firstLineChars="200"/>
        <w:rPr>
          <w:rFonts w:ascii="仿宋_GB2312" w:hAnsi="宋体"/>
          <w:szCs w:val="21"/>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5C76BC18">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3FD04638">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0BF7B105">
      <w:pPr>
        <w:pStyle w:val="2"/>
        <w:bidi w:val="0"/>
        <w:rPr>
          <w:lang w:val="zh-CN"/>
        </w:rPr>
      </w:pPr>
      <w:r>
        <w:t>四、项目绩效情况</w:t>
      </w:r>
      <w:r>
        <w:rPr>
          <w:lang w:val="zh-CN"/>
        </w:rPr>
        <w:tab/>
      </w:r>
    </w:p>
    <w:p w14:paraId="2A1F5226">
      <w:pPr>
        <w:pStyle w:val="3"/>
        <w:bidi w:val="0"/>
        <w:rPr>
          <w:lang w:val="zh-CN"/>
        </w:rPr>
      </w:pPr>
      <w:r>
        <w:rPr>
          <w:lang w:val="zh-CN"/>
        </w:rPr>
        <w:t>（一）项目完成情况。</w:t>
      </w:r>
    </w:p>
    <w:p w14:paraId="2E050358">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56</w:t>
      </w:r>
      <w:r>
        <w:rPr>
          <w:rFonts w:hint="eastAsia" w:ascii="仿宋_GB2312" w:hAnsi="仿宋_GB2312" w:cs="仿宋_GB2312"/>
          <w:szCs w:val="21"/>
        </w:rPr>
        <w:t>万元，</w:t>
      </w:r>
      <w:r>
        <w:rPr>
          <w:rFonts w:hint="eastAsia" w:ascii="仿宋_GB2312" w:hAnsi="仿宋_GB2312" w:cs="仿宋_GB2312"/>
          <w:szCs w:val="21"/>
          <w:lang w:val="en-US" w:eastAsia="zh-CN"/>
        </w:rPr>
        <w:t>2023年</w:t>
      </w:r>
      <w:r>
        <w:rPr>
          <w:rFonts w:hint="eastAsia" w:ascii="仿宋_GB2312" w:hAnsi="仿宋_GB2312" w:cs="仿宋_GB2312"/>
          <w:szCs w:val="21"/>
        </w:rPr>
        <w:t>仲裁案件办理专项经费支出</w:t>
      </w:r>
      <w:r>
        <w:rPr>
          <w:rFonts w:hint="eastAsia" w:ascii="仿宋_GB2312" w:hAnsi="仿宋_GB2312" w:cs="仿宋_GB2312"/>
          <w:szCs w:val="21"/>
          <w:lang w:val="en-US" w:eastAsia="zh-CN"/>
        </w:rPr>
        <w:t>56</w:t>
      </w:r>
      <w:r>
        <w:rPr>
          <w:rFonts w:hint="eastAsia" w:ascii="仿宋_GB2312" w:hAnsi="仿宋_GB2312" w:cs="仿宋_GB2312"/>
          <w:szCs w:val="21"/>
        </w:rPr>
        <w:t>万元</w:t>
      </w:r>
      <w:r>
        <w:rPr>
          <w:rFonts w:hint="eastAsia"/>
        </w:rPr>
        <w:t>。</w:t>
      </w:r>
    </w:p>
    <w:p w14:paraId="065BB051">
      <w:pPr>
        <w:pStyle w:val="3"/>
        <w:bidi w:val="0"/>
        <w:rPr>
          <w:lang w:val="zh-CN"/>
        </w:rPr>
      </w:pPr>
      <w:r>
        <w:rPr>
          <w:lang w:val="zh-CN"/>
        </w:rPr>
        <w:t>（二）项目效益情况。</w:t>
      </w:r>
    </w:p>
    <w:p w14:paraId="73793996">
      <w:pPr>
        <w:spacing w:line="596"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该项目为维护社会经济秩序，保护当事人的合法权益，促进市场经济健康发展发挥了重要作用。</w:t>
      </w:r>
    </w:p>
    <w:p w14:paraId="2AAC4429">
      <w:pPr>
        <w:pStyle w:val="2"/>
        <w:bidi w:val="0"/>
      </w:pPr>
      <w:r>
        <w:t>五、评价结论及建议</w:t>
      </w:r>
    </w:p>
    <w:p w14:paraId="0629115B">
      <w:pPr>
        <w:pStyle w:val="3"/>
        <w:bidi w:val="0"/>
        <w:rPr>
          <w:lang w:val="zh-CN"/>
        </w:rPr>
      </w:pPr>
      <w:r>
        <w:rPr>
          <w:lang w:val="zh-CN"/>
        </w:rPr>
        <w:t>（一）评价结论。</w:t>
      </w:r>
    </w:p>
    <w:p w14:paraId="671B21C6">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从综合评价来看，仲裁案件办案经费(专项经费）预算项目立项依据基本充分，设定了各项目绩效目标，对资金配置方面均有明确的测算依据，整体情况良好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354B3E10">
      <w:pPr>
        <w:pStyle w:val="3"/>
        <w:bidi w:val="0"/>
        <w:rPr>
          <w:lang w:val="zh-CN"/>
        </w:rPr>
      </w:pPr>
      <w:r>
        <w:rPr>
          <w:lang w:val="zh-CN"/>
        </w:rPr>
        <w:t>（二）存在的问题。</w:t>
      </w:r>
    </w:p>
    <w:p w14:paraId="24F1AAAF">
      <w:pPr>
        <w:adjustRightInd w:val="0"/>
        <w:snapToGrid w:val="0"/>
        <w:spacing w:line="590" w:lineRule="exact"/>
        <w:ind w:firstLine="640" w:firstLineChars="200"/>
        <w:rPr>
          <w:lang w:val="zh-CN"/>
        </w:rPr>
      </w:pPr>
      <w:r>
        <w:rPr>
          <w:rFonts w:hint="eastAsia"/>
          <w:lang w:val="en-US" w:eastAsia="zh-CN"/>
        </w:rPr>
        <w:t>无</w:t>
      </w:r>
      <w:r>
        <w:rPr>
          <w:lang w:val="zh-CN"/>
        </w:rPr>
        <w:tab/>
      </w:r>
    </w:p>
    <w:p w14:paraId="4A8BE54E">
      <w:pPr>
        <w:pStyle w:val="3"/>
        <w:bidi w:val="0"/>
        <w:rPr>
          <w:lang w:val="zh-CN"/>
        </w:rPr>
      </w:pPr>
      <w:r>
        <w:rPr>
          <w:lang w:val="zh-CN"/>
        </w:rPr>
        <w:t>（三）相关建议。</w:t>
      </w:r>
    </w:p>
    <w:p w14:paraId="7B5A8B09">
      <w:pPr>
        <w:adjustRightInd w:val="0"/>
        <w:snapToGrid w:val="0"/>
        <w:spacing w:line="590" w:lineRule="exact"/>
        <w:ind w:firstLine="640" w:firstLineChars="200"/>
        <w:rPr>
          <w:rFonts w:hint="eastAsia"/>
          <w:lang w:val="en-US" w:eastAsia="zh-CN"/>
        </w:rPr>
      </w:pPr>
      <w:r>
        <w:rPr>
          <w:rFonts w:hint="eastAsia"/>
          <w:lang w:val="en-US" w:eastAsia="zh-CN"/>
        </w:rPr>
        <w:t>无</w:t>
      </w:r>
    </w:p>
    <w:p w14:paraId="7AAC49F1">
      <w:pPr>
        <w:adjustRightInd w:val="0"/>
        <w:snapToGrid w:val="0"/>
        <w:spacing w:line="590" w:lineRule="exact"/>
        <w:ind w:firstLine="640" w:firstLineChars="200"/>
        <w:rPr>
          <w:lang w:val="zh-CN"/>
        </w:rPr>
        <w:sectPr>
          <w:pgSz w:w="11906" w:h="16838"/>
          <w:pgMar w:top="1440" w:right="1800" w:bottom="1440" w:left="1800" w:header="851" w:footer="992" w:gutter="0"/>
          <w:cols w:space="425" w:num="1"/>
          <w:docGrid w:type="lines" w:linePitch="312" w:charSpace="0"/>
        </w:sectPr>
      </w:pPr>
      <w:r>
        <w:rPr>
          <w:lang w:val="zh-CN"/>
        </w:rPr>
        <w:t>附件：专项预算项目支出绩效自评表</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397"/>
        <w:gridCol w:w="690"/>
        <w:gridCol w:w="789"/>
        <w:gridCol w:w="412"/>
        <w:gridCol w:w="666"/>
        <w:gridCol w:w="576"/>
        <w:gridCol w:w="1085"/>
        <w:gridCol w:w="756"/>
        <w:gridCol w:w="412"/>
        <w:gridCol w:w="489"/>
        <w:gridCol w:w="489"/>
        <w:gridCol w:w="489"/>
        <w:gridCol w:w="421"/>
        <w:gridCol w:w="1685"/>
        <w:gridCol w:w="690"/>
        <w:gridCol w:w="398"/>
        <w:gridCol w:w="399"/>
        <w:gridCol w:w="399"/>
        <w:gridCol w:w="399"/>
        <w:gridCol w:w="430"/>
        <w:gridCol w:w="1037"/>
        <w:gridCol w:w="398"/>
      </w:tblGrid>
      <w:tr w14:paraId="58E0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color="auto" w:fill="auto"/>
            <w:noWrap/>
            <w:vAlign w:val="center"/>
          </w:tcPr>
          <w:p w14:paraId="23BD952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374" w:type="pct"/>
            <w:tcBorders>
              <w:top w:val="nil"/>
              <w:left w:val="nil"/>
              <w:bottom w:val="nil"/>
              <w:right w:val="nil"/>
            </w:tcBorders>
            <w:shd w:val="clear" w:color="auto" w:fill="auto"/>
            <w:noWrap/>
            <w:vAlign w:val="center"/>
          </w:tcPr>
          <w:p w14:paraId="3D67B8A1">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noWrap/>
            <w:vAlign w:val="center"/>
          </w:tcPr>
          <w:p w14:paraId="3D35C456">
            <w:pPr>
              <w:jc w:val="center"/>
              <w:rPr>
                <w:rFonts w:hint="eastAsia" w:ascii="宋体" w:hAnsi="宋体" w:eastAsia="宋体" w:cs="宋体"/>
                <w:i w:val="0"/>
                <w:iCs w:val="0"/>
                <w:color w:val="000000"/>
                <w:sz w:val="18"/>
                <w:szCs w:val="18"/>
                <w:u w:val="none"/>
              </w:rPr>
            </w:pPr>
          </w:p>
        </w:tc>
      </w:tr>
      <w:tr w14:paraId="491F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60C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33B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A243F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9C1C2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36E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1489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646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CF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FCBFC">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DD456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评价过程</w:t>
            </w:r>
          </w:p>
          <w:p w14:paraId="1E1206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8AEC83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自评</w:t>
            </w:r>
          </w:p>
          <w:p w14:paraId="04DD09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w:t>
            </w:r>
          </w:p>
        </w:tc>
      </w:tr>
      <w:tr w14:paraId="5B8D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024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3C88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适用</w:t>
            </w:r>
          </w:p>
          <w:p w14:paraId="326F47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6D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92F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738A">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D1DD70D">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A204DBB">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944D">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53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7BF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FA5E">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F2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7BE2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国家</w:t>
            </w:r>
          </w:p>
          <w:p w14:paraId="48A575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96A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行业</w:t>
            </w:r>
          </w:p>
          <w:p w14:paraId="765DC6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37A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地方</w:t>
            </w:r>
          </w:p>
          <w:p w14:paraId="5B15DB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C26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申报</w:t>
            </w:r>
          </w:p>
          <w:p w14:paraId="363256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0DD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历史</w:t>
            </w:r>
          </w:p>
          <w:p w14:paraId="4AA4B0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6962EB6">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D31B1C0">
            <w:pPr>
              <w:jc w:val="center"/>
              <w:rPr>
                <w:rFonts w:hint="eastAsia" w:ascii="宋体" w:hAnsi="宋体" w:eastAsia="宋体" w:cs="宋体"/>
                <w:b/>
                <w:bCs/>
                <w:i w:val="0"/>
                <w:iCs w:val="0"/>
                <w:color w:val="000000"/>
                <w:sz w:val="18"/>
                <w:szCs w:val="18"/>
                <w:u w:val="none"/>
              </w:rPr>
            </w:pPr>
          </w:p>
        </w:tc>
      </w:tr>
      <w:tr w14:paraId="4476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2B1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737C">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612B">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94C3">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8407">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D201F7F">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AAC962F">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1DC5">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7D92">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C8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10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29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5F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D6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F440">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98FC">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02B9">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4ECC">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9AF7">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A0D8">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94D2">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DF1291A">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6DD69BC">
            <w:pPr>
              <w:jc w:val="center"/>
              <w:rPr>
                <w:rFonts w:hint="eastAsia" w:ascii="宋体" w:hAnsi="宋体" w:eastAsia="宋体" w:cs="宋体"/>
                <w:b/>
                <w:bCs/>
                <w:i w:val="0"/>
                <w:iCs w:val="0"/>
                <w:color w:val="000000"/>
                <w:sz w:val="18"/>
                <w:szCs w:val="18"/>
                <w:u w:val="none"/>
              </w:rPr>
            </w:pPr>
          </w:p>
        </w:tc>
      </w:tr>
      <w:tr w14:paraId="4935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BA8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12D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1C4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C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6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3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6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6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0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E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9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4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6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28B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C1D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0D1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1EAC">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49E6">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A43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665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7E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C98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0EE0">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2135">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D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3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08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F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E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0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2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5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0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B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0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339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83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803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E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62F2">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0A3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807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AFD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432F">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BB6C">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F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F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8D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09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0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8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CA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D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F78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A5A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1AD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3C41">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9A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183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D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FEA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3F6B">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2F0C">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A586">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B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2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17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55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3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5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F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B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C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8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4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10C7">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1BD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736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3FA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9B16">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7A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FF4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B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A82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667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5590">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77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4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5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D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0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7E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2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9B4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ECB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64C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9BE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0F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7AB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5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211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56E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21CF">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B29A">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0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BD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0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1E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5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512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57C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3AE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3E4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314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B18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B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253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4CFA">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ECB5">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022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D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D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A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C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2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D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F0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0748">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4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4F4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479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15E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D59F">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BBE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BAC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7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B7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8FCD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6A0C">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8484">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C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F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37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90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8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F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70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F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470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59E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E24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5242">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08D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345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F29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9C9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1D66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DFA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A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仲裁案件受理件数</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1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A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100件</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7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7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按《仲裁法》相关规定受理仲裁案件</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F9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6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9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FBA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3D8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E57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8C87">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CCC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B1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4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A0B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2505">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D0826">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430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A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完成案件调解率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3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61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D2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2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5C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4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694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4EF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593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FAC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CC43">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606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1CA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2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C36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3AC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29887">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95A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F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6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8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7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0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8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4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6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CDA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CCA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F4D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055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2F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39E0">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CE6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C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753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2558">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1637E">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83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完成案件结案率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CD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1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DEC9">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E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34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培训是否在计划时间按期举办</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5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F24F">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1B4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93B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A22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ECC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7EB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381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87D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542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EC88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609D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高效、公正、平等的解决各类民商事合同纠纷</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B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4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9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3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0C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发现一处扣1分，直至扣完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4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5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EE6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447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627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0BF0">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39EC">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A61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C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3C8C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6DD5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4D45">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705EF">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A3F36">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F964F">
            <w:pPr>
              <w:rPr>
                <w:rFonts w:hint="eastAsia" w:ascii="宋体" w:hAnsi="宋体" w:eastAsia="宋体" w:cs="宋体"/>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B765C">
            <w:pPr>
              <w:jc w:val="center"/>
              <w:rPr>
                <w:rFonts w:hint="eastAsia" w:ascii="宋体" w:hAnsi="宋体" w:eastAsia="宋体" w:cs="宋体"/>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13DC1">
            <w:pPr>
              <w:jc w:val="cente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B3CF">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E48B">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2F2D5">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E6F0">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CD66">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96F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2CC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E6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7BD9">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721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F7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1EAC">
            <w:pPr>
              <w:jc w:val="center"/>
              <w:rPr>
                <w:rFonts w:hint="eastAsia" w:ascii="宋体" w:hAnsi="宋体" w:eastAsia="宋体" w:cs="宋体"/>
                <w:i w:val="0"/>
                <w:iCs w:val="0"/>
                <w:color w:val="000000"/>
                <w:sz w:val="18"/>
                <w:szCs w:val="18"/>
                <w:u w:val="none"/>
              </w:rPr>
            </w:pPr>
          </w:p>
        </w:tc>
      </w:tr>
      <w:tr w14:paraId="65D8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C0A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AB98">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F52E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3B219">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BD76A">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4A3B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2596D">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D539">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565C">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5BECE">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B246">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B42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E1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718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033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A5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7161">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CBF">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903B">
            <w:pPr>
              <w:jc w:val="center"/>
              <w:rPr>
                <w:rFonts w:hint="eastAsia" w:ascii="宋体" w:hAnsi="宋体" w:eastAsia="宋体" w:cs="宋体"/>
                <w:i w:val="0"/>
                <w:iCs w:val="0"/>
                <w:color w:val="000000"/>
                <w:sz w:val="18"/>
                <w:szCs w:val="18"/>
                <w:u w:val="none"/>
              </w:rPr>
            </w:pPr>
          </w:p>
        </w:tc>
      </w:tr>
      <w:tr w14:paraId="780D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B43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A17C">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3815C8">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7CF54">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F3A8A">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30E5">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5EBCB">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DBED">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94E">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74C47">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C5F3">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AACA">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E70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B4C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9D3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3B2A">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B67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0AB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0C85">
            <w:pPr>
              <w:jc w:val="center"/>
              <w:rPr>
                <w:rFonts w:hint="eastAsia" w:ascii="宋体" w:hAnsi="宋体" w:eastAsia="宋体" w:cs="宋体"/>
                <w:i w:val="0"/>
                <w:iCs w:val="0"/>
                <w:color w:val="000000"/>
                <w:sz w:val="18"/>
                <w:szCs w:val="18"/>
                <w:u w:val="none"/>
              </w:rPr>
            </w:pPr>
          </w:p>
        </w:tc>
      </w:tr>
      <w:tr w14:paraId="2BE1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542E">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4719">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B715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E5C45">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2962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A5BE1">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A34A2">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E51F">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E5D0">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270C5">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AB1B">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AB0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49E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A23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1F0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21A4">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151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DE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6732">
            <w:pPr>
              <w:jc w:val="center"/>
              <w:rPr>
                <w:rFonts w:hint="eastAsia" w:ascii="宋体" w:hAnsi="宋体" w:eastAsia="宋体" w:cs="宋体"/>
                <w:i w:val="0"/>
                <w:iCs w:val="0"/>
                <w:color w:val="000000"/>
                <w:sz w:val="18"/>
                <w:szCs w:val="18"/>
                <w:u w:val="none"/>
              </w:rPr>
            </w:pPr>
          </w:p>
        </w:tc>
      </w:tr>
      <w:tr w14:paraId="20B5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8A7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8F2F">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CB56D">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D2932">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32761">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3BDC7">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75DA8">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D72D">
            <w:pPr>
              <w:jc w:val="cente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7E9">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FEEDA">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52A8">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B3E1">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E1A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576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FF4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6868">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5E7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BC5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7EBC">
            <w:pPr>
              <w:jc w:val="center"/>
              <w:rPr>
                <w:rFonts w:hint="eastAsia" w:ascii="宋体" w:hAnsi="宋体" w:eastAsia="宋体" w:cs="宋体"/>
                <w:i w:val="0"/>
                <w:iCs w:val="0"/>
                <w:color w:val="000000"/>
                <w:sz w:val="18"/>
                <w:szCs w:val="18"/>
                <w:u w:val="none"/>
              </w:rPr>
            </w:pPr>
          </w:p>
        </w:tc>
      </w:tr>
      <w:tr w14:paraId="07DA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4BC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13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0C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20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BB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7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与目标值对比，评价项目满意度达标完成程度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4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0C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平均满意度达90%及以上的满分；80%-90%得80%权重分</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463A">
            <w:pPr>
              <w:jc w:val="left"/>
              <w:rPr>
                <w:rFonts w:hint="eastAsia" w:ascii="宋体" w:hAnsi="宋体" w:eastAsia="宋体" w:cs="宋体"/>
                <w:i w:val="0"/>
                <w:iCs w:val="0"/>
                <w:color w:val="000000"/>
                <w:sz w:val="18"/>
                <w:szCs w:val="18"/>
                <w:u w:val="none"/>
              </w:rPr>
            </w:pPr>
          </w:p>
        </w:tc>
        <w:tc>
          <w:tcPr>
            <w:tcW w:w="252" w:type="pct"/>
            <w:tcBorders>
              <w:top w:val="nil"/>
              <w:left w:val="single" w:color="000000" w:sz="4" w:space="0"/>
              <w:bottom w:val="single" w:color="000000" w:sz="4" w:space="0"/>
              <w:right w:val="single" w:color="000000" w:sz="4" w:space="0"/>
            </w:tcBorders>
            <w:shd w:val="clear" w:color="auto" w:fill="auto"/>
            <w:vAlign w:val="center"/>
          </w:tcPr>
          <w:p w14:paraId="336C2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nil"/>
              <w:left w:val="single" w:color="000000" w:sz="4" w:space="0"/>
              <w:bottom w:val="single" w:color="000000" w:sz="4" w:space="0"/>
              <w:right w:val="single" w:color="000000" w:sz="4" w:space="0"/>
            </w:tcBorders>
            <w:shd w:val="clear" w:color="auto" w:fill="auto"/>
            <w:vAlign w:val="center"/>
          </w:tcPr>
          <w:p w14:paraId="6BA345EA">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vAlign w:val="center"/>
          </w:tcPr>
          <w:p w14:paraId="5E48679A">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5053EA33">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7E67E200">
            <w:pPr>
              <w:rPr>
                <w:rFonts w:hint="eastAsia" w:ascii="宋体" w:hAnsi="宋体" w:eastAsia="宋体" w:cs="宋体"/>
                <w:i w:val="0"/>
                <w:iCs w:val="0"/>
                <w:color w:val="000000"/>
                <w:sz w:val="18"/>
                <w:szCs w:val="18"/>
                <w:u w:val="none"/>
              </w:rPr>
            </w:pPr>
          </w:p>
        </w:tc>
        <w:tc>
          <w:tcPr>
            <w:tcW w:w="151" w:type="pct"/>
            <w:tcBorders>
              <w:top w:val="nil"/>
              <w:left w:val="single" w:color="000000" w:sz="4" w:space="0"/>
              <w:bottom w:val="single" w:color="000000" w:sz="4" w:space="0"/>
              <w:right w:val="single" w:color="000000" w:sz="4" w:space="0"/>
            </w:tcBorders>
            <w:shd w:val="clear" w:color="auto" w:fill="auto"/>
            <w:noWrap/>
            <w:vAlign w:val="center"/>
          </w:tcPr>
          <w:p w14:paraId="1D83628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C0CB">
            <w:pP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7428C6E7">
      <w:pPr>
        <w:adjustRightInd w:val="0"/>
        <w:snapToGrid w:val="0"/>
        <w:spacing w:line="590" w:lineRule="exact"/>
        <w:ind w:firstLine="640" w:firstLineChars="200"/>
        <w:rPr>
          <w:lang w:val="zh-CN"/>
        </w:rPr>
      </w:pPr>
    </w:p>
    <w:p w14:paraId="63357A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1421D28"/>
    <w:rsid w:val="04BB487C"/>
    <w:rsid w:val="59F00D9F"/>
    <w:rsid w:val="7FD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qFormat/>
    <w:uiPriority w:val="0"/>
    <w:rPr>
      <w:rFonts w:hint="eastAsia" w:ascii="宋体" w:hAnsi="宋体" w:eastAsia="宋体" w:cs="宋体"/>
      <w:b/>
      <w:bCs/>
      <w:color w:val="000000"/>
      <w:sz w:val="18"/>
      <w:szCs w:val="18"/>
      <w:u w:val="none"/>
    </w:rPr>
  </w:style>
  <w:style w:type="character" w:customStyle="1" w:styleId="10">
    <w:name w:val="font41"/>
    <w:basedOn w:val="5"/>
    <w:qFormat/>
    <w:uiPriority w:val="0"/>
    <w:rPr>
      <w:rFonts w:hint="eastAsia" w:ascii="宋体" w:hAnsi="宋体" w:eastAsia="宋体" w:cs="宋体"/>
      <w:b/>
      <w:bCs/>
      <w:color w:val="FF0000"/>
      <w:sz w:val="18"/>
      <w:szCs w:val="18"/>
      <w:u w:val="none"/>
    </w:rPr>
  </w:style>
  <w:style w:type="character" w:customStyle="1" w:styleId="11">
    <w:name w:val="font11"/>
    <w:basedOn w:val="5"/>
    <w:qFormat/>
    <w:uiPriority w:val="0"/>
    <w:rPr>
      <w:rFonts w:hint="eastAsia" w:ascii="宋体" w:hAnsi="宋体" w:eastAsia="宋体" w:cs="宋体"/>
      <w:color w:val="000000"/>
      <w:sz w:val="18"/>
      <w:szCs w:val="18"/>
      <w:u w:val="none"/>
    </w:rPr>
  </w:style>
  <w:style w:type="character" w:customStyle="1" w:styleId="12">
    <w:name w:val="font10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3606</Words>
  <Characters>3784</Characters>
  <Lines>0</Lines>
  <Paragraphs>0</Paragraphs>
  <TotalTime>1</TotalTime>
  <ScaleCrop>false</ScaleCrop>
  <LinksUpToDate>false</LinksUpToDate>
  <CharactersWithSpaces>3792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