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CB1CA">
      <w:pPr>
        <w:spacing w:line="600" w:lineRule="exact"/>
        <w:jc w:val="center"/>
        <w:outlineLvl w:val="0"/>
        <w:rPr>
          <w:rFonts w:ascii="方正小标宋简体" w:hAnsi="宋体" w:eastAsia="方正小标宋简体"/>
          <w:color w:val="000000"/>
          <w:sz w:val="72"/>
          <w:szCs w:val="72"/>
        </w:rPr>
      </w:pPr>
      <w:bookmarkStart w:id="0" w:name="_Toc15306267"/>
    </w:p>
    <w:p w14:paraId="0BABD7FC">
      <w:pPr>
        <w:spacing w:line="600" w:lineRule="exact"/>
        <w:jc w:val="center"/>
        <w:outlineLvl w:val="0"/>
        <w:rPr>
          <w:rFonts w:ascii="方正小标宋简体" w:hAnsi="宋体" w:eastAsia="方正小标宋简体"/>
          <w:color w:val="000000"/>
          <w:sz w:val="72"/>
          <w:szCs w:val="72"/>
        </w:rPr>
      </w:pPr>
    </w:p>
    <w:p w14:paraId="172685BF">
      <w:pPr>
        <w:spacing w:line="600" w:lineRule="exact"/>
        <w:jc w:val="center"/>
        <w:outlineLvl w:val="0"/>
        <w:rPr>
          <w:rFonts w:ascii="方正小标宋简体" w:hAnsi="宋体" w:eastAsia="方正小标宋简体"/>
          <w:color w:val="000000"/>
          <w:sz w:val="72"/>
          <w:szCs w:val="72"/>
        </w:rPr>
      </w:pPr>
    </w:p>
    <w:p w14:paraId="20329454">
      <w:pPr>
        <w:spacing w:line="600" w:lineRule="exact"/>
        <w:jc w:val="center"/>
        <w:outlineLvl w:val="0"/>
        <w:rPr>
          <w:rFonts w:ascii="方正小标宋简体" w:hAnsi="宋体" w:eastAsia="方正小标宋简体"/>
          <w:color w:val="000000"/>
          <w:sz w:val="72"/>
          <w:szCs w:val="72"/>
        </w:rPr>
      </w:pPr>
    </w:p>
    <w:p w14:paraId="3488EED6">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8441"/>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5B9A337B">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77426"/>
      <w:bookmarkStart w:id="8" w:name="_Toc15396476"/>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遂宁市司法局</w:t>
      </w:r>
    </w:p>
    <w:p w14:paraId="62E26AE0">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7C23A589">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4AC84957">
      <w:pPr>
        <w:widowControl/>
        <w:jc w:val="center"/>
        <w:rPr>
          <w:rFonts w:ascii="黑体" w:hAnsi="黑体" w:eastAsia="黑体" w:cstheme="minorBidi"/>
          <w:sz w:val="28"/>
          <w:szCs w:val="28"/>
        </w:rPr>
      </w:pPr>
    </w:p>
    <w:p w14:paraId="635D1F3F">
      <w:pPr>
        <w:pStyle w:val="11"/>
      </w:pPr>
      <w:r>
        <w:rPr>
          <w:rFonts w:hint="eastAsia"/>
        </w:rPr>
        <w:t>公开时间：2020年9月</w:t>
      </w:r>
      <w:r>
        <w:rPr>
          <w:rFonts w:hint="eastAsia"/>
          <w:lang w:val="en-US" w:eastAsia="zh-CN"/>
        </w:rPr>
        <w:t>2</w:t>
      </w:r>
      <w:r>
        <w:rPr>
          <w:rFonts w:hint="eastAsia"/>
        </w:rPr>
        <w:t>3日</w:t>
      </w:r>
    </w:p>
    <w:p w14:paraId="6C1B347E"/>
    <w:p w14:paraId="13F706E6">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562780E1">
      <w:pPr>
        <w:pStyle w:val="12"/>
        <w:adjustRightInd w:val="0"/>
        <w:snapToGrid w:val="0"/>
        <w:spacing w:line="440" w:lineRule="exact"/>
        <w:jc w:val="left"/>
        <w:rPr>
          <w:rFonts w:ascii="仿宋" w:hAnsi="仿宋" w:eastAsia="仿宋"/>
          <w:sz w:val="24"/>
        </w:rPr>
      </w:pPr>
      <w:r>
        <w:rPr>
          <w:rFonts w:hint="eastAsia"/>
          <w:sz w:val="24"/>
        </w:rPr>
        <w:t>一、基本职能及主要工作</w:t>
      </w:r>
    </w:p>
    <w:p w14:paraId="59C10F6D">
      <w:pPr>
        <w:pStyle w:val="12"/>
        <w:adjustRightInd w:val="0"/>
        <w:snapToGrid w:val="0"/>
        <w:spacing w:line="440" w:lineRule="exact"/>
        <w:jc w:val="left"/>
        <w:rPr>
          <w:rFonts w:ascii="仿宋" w:hAnsi="仿宋" w:eastAsia="仿宋" w:cstheme="minorBidi"/>
          <w:sz w:val="24"/>
        </w:rPr>
      </w:pPr>
      <w:r>
        <w:rPr>
          <w:rFonts w:hint="eastAsia"/>
          <w:sz w:val="24"/>
        </w:rPr>
        <w:t>二、机构设置</w:t>
      </w:r>
    </w:p>
    <w:p w14:paraId="0E39EEFB">
      <w:pPr>
        <w:pStyle w:val="11"/>
        <w:adjustRightInd w:val="0"/>
        <w:snapToGrid w:val="0"/>
        <w:spacing w:before="0" w:line="440" w:lineRule="exact"/>
        <w:jc w:val="left"/>
        <w:rPr>
          <w:sz w:val="24"/>
          <w:szCs w:val="24"/>
        </w:rPr>
      </w:pPr>
      <w:r>
        <w:rPr>
          <w:rFonts w:hint="eastAsia"/>
          <w:sz w:val="24"/>
        </w:rPr>
        <w:t>第二部分度部门决算情况说明</w:t>
      </w:r>
    </w:p>
    <w:p w14:paraId="1531FA0F">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2E3489A1">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78A3A084">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581AC1AE">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4ECBE9AB">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5A4664A1">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56D84F6F">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08FF5392">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3A425ACA">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0E500C38">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1556A217">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6F1C3ECC">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5482868C">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0979C780">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58719CE9">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73A2C379">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5B82EFC9">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278C0262">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5609172B">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3E88E361">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5477E21E">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2EA8EEDF">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1D6B1D15">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033E62B5">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72A250B5">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32FDA05A">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181280CC">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027E9D7E">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3F551D0D">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0C86724D">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584F6F32">
      <w:pPr>
        <w:widowControl/>
        <w:jc w:val="left"/>
        <w:rPr>
          <w:rFonts w:ascii="黑体" w:eastAsia="黑体"/>
          <w:color w:val="000000"/>
          <w:sz w:val="32"/>
          <w:szCs w:val="32"/>
        </w:rPr>
      </w:pPr>
    </w:p>
    <w:p w14:paraId="483AB392">
      <w:pPr>
        <w:pStyle w:val="4"/>
        <w:pageBreakBefore w:val="0"/>
        <w:kinsoku/>
        <w:wordWrap/>
        <w:overflowPunct/>
        <w:topLinePunct w:val="0"/>
        <w:autoSpaceDE/>
        <w:autoSpaceDN/>
        <w:bidi w:val="0"/>
        <w:adjustRightInd w:val="0"/>
        <w:snapToGrid w:val="0"/>
        <w:spacing w:before="0" w:after="0" w:line="360" w:lineRule="auto"/>
        <w:ind w:firstLine="640" w:firstLineChars="200"/>
        <w:jc w:val="left"/>
        <w:textAlignment w:val="auto"/>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14:paraId="10358810">
      <w:pPr>
        <w:pStyle w:val="6"/>
        <w:pageBreakBefore w:val="0"/>
        <w:kinsoku/>
        <w:wordWrap/>
        <w:overflowPunct/>
        <w:topLinePunct w:val="0"/>
        <w:autoSpaceDE/>
        <w:autoSpaceDN/>
        <w:bidi w:val="0"/>
        <w:adjustRightInd w:val="0"/>
        <w:snapToGrid w:val="0"/>
        <w:spacing w:beforeLines="0" w:line="360" w:lineRule="auto"/>
        <w:ind w:firstLine="640" w:firstLineChars="200"/>
        <w:jc w:val="left"/>
        <w:textAlignment w:val="auto"/>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14:paraId="0FAED9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（1）承担全面依法治市重大问题的政策研究，协调有关方面提出全面依法治市规划建议，负责有关重大决策部署督察工作。</w:t>
      </w:r>
    </w:p>
    <w:p w14:paraId="275109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承担统筹规划行政立法工作的责任。协调有关方面提出行政立法规划和年度行政立法工作计划的建议，负责跟踪了解各部门对行政立法工作计划的落实情况，加强组织实施和督促指导，研究提出行政立法与改革决策相衔接的意见、措施。负责面向社会征集地方性法规、规章制定项目建议。</w:t>
      </w:r>
    </w:p>
    <w:p w14:paraId="31C276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（3）负责起草或者组织起草地方性法规、市政府规章草案。负责市政府各部门报送市政府的地方性法规、规章草案的审查工作。负责行政立法协调。</w:t>
      </w:r>
    </w:p>
    <w:p w14:paraId="273F14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（4）承担市政府规章的解释、行政立法后评估工作。负责协调各地、各部门实施法律、法规、规章中的有关争议和问题。承办市政府规章的清理、编纂、翻译工作。承办市政府规章报送备案工作。</w:t>
      </w:r>
    </w:p>
    <w:p w14:paraId="2AD633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负责市委、市政府规范性文件、重大行政决策发布前的合法性审查。承办市政府规范性文件的报送备案工作。负责各县（区）政府和市政府各部门规范性文件报送市政府的备案审查工作。组织开展规范性文件清理。负责市本级政府合同管理、市政府涉法事务处理。</w:t>
      </w:r>
    </w:p>
    <w:p w14:paraId="0A5F401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承担统筹推进法治政府建设的责任。监督指导各县（区）政府、市政府各部门、市直园区管委会依法行政工作。负责综合协调、监督检查行政执法，承担推进行政执法体制改革有关工作，推进严格规范公正文明执法。指导监督全市行政复议、行政应诉和行政赔偿工作，承办向市政府申请的行政复议、行政赔偿案件，代理市政府行政应诉案件。</w:t>
      </w:r>
    </w:p>
    <w:p w14:paraId="263B78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承担统筹规划法治社会建设的责任。负责拟订法治宣传教育规划，组织实施普法宣传，组织对外法治宣传。推动人民参与和促进法治建设。指导依法治理和法治创建工作。指导调解工作。负责并指导人民监督员的选任管理工作。指导监督人民陪审员选任工作。推进司法所建设。</w:t>
      </w:r>
    </w:p>
    <w:p w14:paraId="2488BB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（8）指导管理社区矫正工作。指导刑满释放人员帮教安置工作。</w:t>
      </w:r>
    </w:p>
    <w:p w14:paraId="3CA831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（9）负责全市司法行政戒毒管理工作。指导监督本系统强制隔离戒毒执行和戒毒康复工作。对社区戒毒和社区康复工作提供指导、支持和协助。</w:t>
      </w:r>
    </w:p>
    <w:p w14:paraId="1E30E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（10）负责拟订全市公共法律服务体系建设规划并指导实施，统筹和布局全市城乡、区域法律服务资源。指导监督律师、法律援助、司法鉴定、公证、仲裁和基层法律服务工作。</w:t>
      </w:r>
    </w:p>
    <w:p w14:paraId="2F5942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（11）负责全市国家统一法律职业资格考试的组织实施工作。负责全市国家统一法律职业资格管理工作。负责规划和指导法律职业人员入职前培训工作。</w:t>
      </w:r>
    </w:p>
    <w:p w14:paraId="6541E2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（12）负责本系统服装和警车管理工作。指导监督本系统财务、装备、设施、场所等保障工作。</w:t>
      </w:r>
    </w:p>
    <w:p w14:paraId="56531F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（13）规划、协调、指导法治人才队伍建设相关工作，指导监督本系统队伍建设。协助县（区）管理司法局领导干部。</w:t>
      </w:r>
    </w:p>
    <w:p w14:paraId="0530F3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（14）负责并指导本系统行政审批工作。负责全市外来企业涉及政务服务和行政执法方面的投诉处理。</w:t>
      </w:r>
    </w:p>
    <w:p w14:paraId="3F08A2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（15）负责职责范围内的安全生产和职业健康、生态环境保护、审批服务便民化等工作。</w:t>
      </w:r>
    </w:p>
    <w:p w14:paraId="77DC18D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bCs/>
          <w:color w:val="000000"/>
          <w:sz w:val="32"/>
          <w:szCs w:val="32"/>
        </w:rPr>
      </w:pPr>
      <w:r>
        <w:rPr>
          <w:rFonts w:hint="eastAsia" w:ascii="仿宋" w:hAnsi="仿宋" w:eastAsia="仿宋" w:cs="仿宋"/>
          <w:sz w:val="32"/>
          <w:szCs w:val="32"/>
        </w:rPr>
        <w:t>（16）完成市委和市政府交办的其他任务。</w:t>
      </w:r>
    </w:p>
    <w:p w14:paraId="565C8A99">
      <w:pPr>
        <w:pStyle w:val="6"/>
        <w:pageBreakBefore w:val="0"/>
        <w:kinsoku/>
        <w:wordWrap/>
        <w:overflowPunct/>
        <w:topLinePunct w:val="0"/>
        <w:autoSpaceDE/>
        <w:autoSpaceDN/>
        <w:bidi w:val="0"/>
        <w:adjustRightInd w:val="0"/>
        <w:snapToGrid w:val="0"/>
        <w:spacing w:beforeLines="0" w:line="360" w:lineRule="auto"/>
        <w:ind w:firstLine="640" w:firstLineChars="200"/>
        <w:jc w:val="left"/>
        <w:textAlignment w:val="auto"/>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5FD12EFB">
      <w:pPr>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rPr>
      </w:pPr>
      <w:r>
        <w:rPr>
          <w:rFonts w:hint="eastAsia" w:ascii="仿宋_GB2312" w:hAnsi="宋体" w:eastAsia="仿宋_GB2312"/>
          <w:bCs/>
          <w:sz w:val="32"/>
          <w:szCs w:val="32"/>
        </w:rPr>
        <w:t>一是</w:t>
      </w:r>
      <w:r>
        <w:rPr>
          <w:rFonts w:hint="eastAsia" w:ascii="仿宋_GB2312" w:hAnsi="宋体" w:eastAsia="仿宋_GB2312"/>
          <w:sz w:val="32"/>
          <w:szCs w:val="32"/>
        </w:rPr>
        <w:t>聚焦四大关键抓普法，营造浓厚法治氛围</w:t>
      </w:r>
      <w:r>
        <w:rPr>
          <w:rFonts w:hint="eastAsia" w:ascii="仿宋_GB2312" w:hAnsi="宋体" w:eastAsia="仿宋_GB2312"/>
          <w:bCs/>
          <w:sz w:val="32"/>
          <w:szCs w:val="32"/>
        </w:rPr>
        <w:t>。</w:t>
      </w:r>
      <w:r>
        <w:rPr>
          <w:rFonts w:hint="eastAsia" w:ascii="仿宋_GB2312" w:hAnsi="宋体" w:eastAsia="仿宋_GB2312"/>
          <w:sz w:val="32"/>
          <w:szCs w:val="32"/>
        </w:rPr>
        <w:t>起草印发了《遂宁市法治宣传教育第七个五年规划（2016—2020年）》，筹备召开了 “遂宁市‘七五’普法动员暨‘法律七进’推进电视电话会议”，加大普法宣传力度</w:t>
      </w:r>
      <w:r>
        <w:rPr>
          <w:rFonts w:hint="eastAsia" w:ascii="仿宋_GB2312" w:hAnsi="宋体" w:eastAsia="仿宋_GB2312"/>
          <w:bCs/>
          <w:sz w:val="32"/>
          <w:szCs w:val="32"/>
        </w:rPr>
        <w:t>；</w:t>
      </w:r>
      <w:r>
        <w:rPr>
          <w:rFonts w:hint="eastAsia" w:ascii="仿宋_GB2312" w:hAnsi="宋体" w:eastAsia="仿宋_GB2312"/>
          <w:sz w:val="32"/>
          <w:szCs w:val="32"/>
        </w:rPr>
        <w:t>拓宽领域，加强普法阵地建设</w:t>
      </w:r>
      <w:r>
        <w:rPr>
          <w:rFonts w:hint="eastAsia" w:ascii="仿宋_GB2312" w:hAnsi="宋体" w:eastAsia="仿宋_GB2312"/>
          <w:bCs/>
          <w:sz w:val="32"/>
          <w:szCs w:val="32"/>
        </w:rPr>
        <w:t>；</w:t>
      </w:r>
      <w:r>
        <w:rPr>
          <w:rFonts w:hint="eastAsia" w:ascii="仿宋_GB2312" w:hAnsi="宋体" w:eastAsia="仿宋_GB2312"/>
          <w:sz w:val="32"/>
          <w:szCs w:val="32"/>
        </w:rPr>
        <w:t>落实责任，规范普法宣传制度</w:t>
      </w:r>
      <w:r>
        <w:rPr>
          <w:rFonts w:hint="eastAsia" w:ascii="仿宋_GB2312" w:hAnsi="宋体" w:eastAsia="仿宋_GB2312"/>
          <w:bCs/>
          <w:sz w:val="32"/>
          <w:szCs w:val="32"/>
        </w:rPr>
        <w:t>。二是</w:t>
      </w:r>
      <w:r>
        <w:rPr>
          <w:rFonts w:hint="eastAsia" w:ascii="仿宋_GB2312" w:hAnsi="宋体" w:eastAsia="仿宋_GB2312"/>
          <w:sz w:val="32"/>
          <w:szCs w:val="32"/>
        </w:rPr>
        <w:t>深化三项改革谋发展，做优法律援助，办好民生工程；做优律师公证，助力法律服务行业全面发展。</w:t>
      </w:r>
      <w:r>
        <w:rPr>
          <w:rFonts w:hint="eastAsia" w:ascii="仿宋_GB2312" w:hAnsi="宋体" w:eastAsia="仿宋_GB2312"/>
          <w:bCs/>
          <w:sz w:val="32"/>
          <w:szCs w:val="32"/>
        </w:rPr>
        <w:t>三是</w:t>
      </w:r>
      <w:r>
        <w:rPr>
          <w:rFonts w:hint="eastAsia" w:ascii="仿宋_GB2312" w:hAnsi="宋体" w:eastAsia="仿宋_GB2312"/>
          <w:sz w:val="32"/>
          <w:szCs w:val="32"/>
        </w:rPr>
        <w:t>加快司法所规范化建设步伐，制定出台了《关于加强遂宁市司法所规范化建设工作的实施方案》；切实有力推进人民调解。有力推动“公调对接”工作，印发了《关于建立完善人民调解与治安调解对接制度的实施方案》；健全完善社区矫正机制，完善“一对一”、“多帮一”的社区服刑人员日常帮教机制，建立“4+X”矫正小组，制定了《遂宁市社区服刑人员分类管理实施办法（试行）》，实施重点社区服刑人员由县级司法行政机关负责人和司法所长“定人包案”制度。</w:t>
      </w:r>
      <w:r>
        <w:rPr>
          <w:rFonts w:hint="eastAsia" w:ascii="仿宋_GB2312" w:hAnsi="宋体" w:eastAsia="仿宋_GB2312"/>
          <w:bCs/>
          <w:sz w:val="32"/>
          <w:szCs w:val="32"/>
        </w:rPr>
        <w:t>四是</w:t>
      </w:r>
      <w:r>
        <w:rPr>
          <w:rFonts w:hint="eastAsia" w:ascii="仿宋_GB2312" w:hAnsi="宋体" w:eastAsia="仿宋_GB2312"/>
          <w:sz w:val="32"/>
          <w:szCs w:val="32"/>
        </w:rPr>
        <w:t>全面抓好班子和队伍建设，工作作风不断优化；倾情开展“扶贫帮困”</w:t>
      </w:r>
      <w:r>
        <w:rPr>
          <w:rFonts w:hint="eastAsia" w:ascii="仿宋_GB2312" w:hAnsi="宋体" w:eastAsia="仿宋_GB2312"/>
          <w:bCs/>
          <w:sz w:val="32"/>
          <w:szCs w:val="32"/>
        </w:rPr>
        <w:t>，</w:t>
      </w:r>
      <w:r>
        <w:rPr>
          <w:rFonts w:hint="eastAsia" w:ascii="仿宋_GB2312" w:hAnsi="宋体" w:eastAsia="仿宋_GB2312"/>
          <w:sz w:val="32"/>
          <w:szCs w:val="32"/>
        </w:rPr>
        <w:t>大力推进信息化建设。</w:t>
      </w:r>
    </w:p>
    <w:p w14:paraId="083813B0">
      <w:pPr>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sz w:val="32"/>
          <w:szCs w:val="32"/>
        </w:rPr>
      </w:pPr>
      <w:r>
        <w:rPr>
          <w:rFonts w:hint="eastAsia" w:ascii="楷体" w:hAnsi="楷体" w:eastAsia="楷体"/>
          <w:sz w:val="32"/>
          <w:szCs w:val="32"/>
        </w:rPr>
        <w:t>（一）建立联动机制，依法治市精准发力。</w:t>
      </w:r>
      <w:r>
        <w:rPr>
          <w:rFonts w:hint="eastAsia" w:ascii="仿宋" w:hAnsi="仿宋" w:eastAsia="仿宋"/>
          <w:sz w:val="32"/>
          <w:szCs w:val="32"/>
        </w:rPr>
        <w:t>牵头成立立法、执法、司法、守法普法协调小组及办公室，市直各部门规范设置推进全面依法治市领导小组及办公室，形成“办公室+协调小组+各地各部门”组成的“1+4+N”工作体系。定期召开市委全面依法治市委员会办公室主任会议，编制《遂宁市全面依法治市2019年度特色创新项目台账》，统筹开展90项重点工作、39个特色创新项目，15个重点调研课题。落实协调小组会议协商制度，分领域召开小组会议、制定《2019年协调小组工作要点》，细化分解重点任务，凝聚工作合力，形成联合攻坚、多边协商、全力突破的推进模式，依法治市取得新突破。</w:t>
      </w:r>
    </w:p>
    <w:p w14:paraId="26F7588C">
      <w:pPr>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sz w:val="32"/>
          <w:szCs w:val="32"/>
        </w:rPr>
      </w:pPr>
      <w:r>
        <w:rPr>
          <w:rFonts w:hint="eastAsia" w:ascii="楷体" w:hAnsi="楷体" w:eastAsia="楷体"/>
          <w:sz w:val="32"/>
          <w:szCs w:val="32"/>
        </w:rPr>
        <w:t>（二）激发内生动力，公益法律服务初见成效。</w:t>
      </w:r>
      <w:r>
        <w:rPr>
          <w:rFonts w:hint="eastAsia" w:ascii="仿宋" w:hAnsi="仿宋" w:eastAsia="仿宋"/>
          <w:sz w:val="32"/>
          <w:szCs w:val="32"/>
        </w:rPr>
        <w:t>释放党政机关法律服务人才存量资源，探索建立由公职律师、法律援助律师、社会律师共同组成的遂宁首支公益法律服务团，为党、政、企事业单位和服务保障农民工等方面提供法律咨询服务。8月30日，举行公益法律服务顾问签约仪式暨服务保障农民工签约仪式，36名公益法律顾问与18家行政单位、国有企业签订《公益法律顾问服务合同》。目前，公益法律服务团运行良好，各项法律服务正稳步推进。</w:t>
      </w:r>
    </w:p>
    <w:p w14:paraId="06022F1F">
      <w:pPr>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bCs/>
          <w:color w:val="000000"/>
          <w:sz w:val="32"/>
          <w:szCs w:val="32"/>
        </w:rPr>
      </w:pPr>
      <w:r>
        <w:rPr>
          <w:rFonts w:hint="eastAsia" w:ascii="楷体" w:hAnsi="楷体" w:eastAsia="楷体"/>
          <w:sz w:val="32"/>
          <w:szCs w:val="32"/>
        </w:rPr>
        <w:t>（三）创新举措机制，服务民营企业发展。</w:t>
      </w:r>
      <w:r>
        <w:rPr>
          <w:rFonts w:hint="eastAsia" w:ascii="仿宋" w:hAnsi="仿宋" w:eastAsia="仿宋"/>
          <w:sz w:val="32"/>
          <w:szCs w:val="32"/>
        </w:rPr>
        <w:t>组织开展招投标领域专项执法检查，及时发现制止招投标违法行为，保证民营企业公平参与投标竞争。编制《遂宁市减证便民专项行动方案》《遂宁市提升营商环境法治化水平专项行动方案》，制定《市司法局促进民营经济健康发展九项措施的责任分工方案》，成立调研组，走访</w:t>
      </w:r>
      <w:r>
        <w:rPr>
          <w:rFonts w:ascii="仿宋" w:hAnsi="仿宋" w:eastAsia="仿宋"/>
          <w:sz w:val="32"/>
          <w:szCs w:val="32"/>
        </w:rPr>
        <w:t>13</w:t>
      </w:r>
      <w:r>
        <w:rPr>
          <w:rFonts w:hint="eastAsia" w:ascii="仿宋" w:hAnsi="仿宋" w:eastAsia="仿宋"/>
          <w:sz w:val="32"/>
          <w:szCs w:val="32"/>
        </w:rPr>
        <w:t>家重点民营企业，解决发展过程中遇到的困难和问题，充分维护民营企业的合法权益，确保民营经济健康发展。</w:t>
      </w:r>
    </w:p>
    <w:p w14:paraId="5490CD3A">
      <w:pPr>
        <w:pStyle w:val="4"/>
        <w:pageBreakBefore w:val="0"/>
        <w:kinsoku/>
        <w:wordWrap/>
        <w:overflowPunct/>
        <w:topLinePunct w:val="0"/>
        <w:autoSpaceDE/>
        <w:autoSpaceDN/>
        <w:bidi w:val="0"/>
        <w:adjustRightInd w:val="0"/>
        <w:snapToGrid w:val="0"/>
        <w:spacing w:before="0" w:after="0" w:line="360" w:lineRule="auto"/>
        <w:ind w:firstLine="640" w:firstLineChars="200"/>
        <w:jc w:val="left"/>
        <w:textAlignment w:val="auto"/>
        <w:rPr>
          <w:rStyle w:val="2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14:paraId="76D845D9">
      <w:pPr>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rPr>
        <w:t>市司法局为一级预算单位，下属</w:t>
      </w:r>
      <w:r>
        <w:rPr>
          <w:rFonts w:hint="eastAsia" w:ascii="仿宋" w:hAnsi="仿宋" w:eastAsia="仿宋" w:cs="仿宋"/>
          <w:sz w:val="32"/>
          <w:szCs w:val="32"/>
        </w:rPr>
        <w:t>二级预算事业单位1个</w:t>
      </w:r>
      <w:r>
        <w:rPr>
          <w:rFonts w:hint="eastAsia" w:ascii="仿宋" w:hAnsi="仿宋" w:eastAsia="仿宋" w:cs="仿宋"/>
          <w:sz w:val="32"/>
          <w:szCs w:val="32"/>
          <w:lang w:eastAsia="zh-CN"/>
        </w:rPr>
        <w:t>。</w:t>
      </w:r>
      <w:r>
        <w:rPr>
          <w:rFonts w:hint="eastAsia" w:ascii="仿宋" w:hAnsi="仿宋" w:eastAsia="仿宋"/>
          <w:color w:val="000000"/>
          <w:sz w:val="32"/>
          <w:szCs w:val="32"/>
        </w:rPr>
        <w:t>纳入</w:t>
      </w:r>
      <w:r>
        <w:rPr>
          <w:rFonts w:hint="eastAsia" w:ascii="仿宋" w:hAnsi="仿宋" w:eastAsia="仿宋"/>
          <w:color w:val="000000"/>
          <w:sz w:val="32"/>
          <w:szCs w:val="32"/>
          <w:lang w:eastAsia="zh-CN"/>
        </w:rPr>
        <w:t>市司法局</w:t>
      </w:r>
      <w:r>
        <w:rPr>
          <w:rFonts w:hint="eastAsia" w:ascii="仿宋" w:hAnsi="仿宋" w:eastAsia="仿宋"/>
          <w:color w:val="000000"/>
          <w:sz w:val="32"/>
          <w:szCs w:val="32"/>
        </w:rPr>
        <w:t>2019年度部门决算编制范围的二级预算单位包括：</w:t>
      </w:r>
      <w:r>
        <w:rPr>
          <w:rFonts w:hint="eastAsia" w:ascii="仿宋" w:hAnsi="仿宋" w:eastAsia="仿宋" w:cs="仿宋"/>
          <w:sz w:val="32"/>
          <w:szCs w:val="32"/>
        </w:rPr>
        <w:t>遂宁市仲裁委员会。</w:t>
      </w:r>
    </w:p>
    <w:p w14:paraId="4B0CCAF7">
      <w:pPr>
        <w:pStyle w:val="2"/>
      </w:pPr>
    </w:p>
    <w:p w14:paraId="0415CD76">
      <w:pPr>
        <w:pStyle w:val="3"/>
        <w:ind w:right="440"/>
        <w:jc w:val="right"/>
        <w:rPr>
          <w:rStyle w:val="2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2"/>
      <w:bookmarkEnd w:id="23"/>
    </w:p>
    <w:p w14:paraId="2EBE7ACC"/>
    <w:p w14:paraId="1DC8BFF8">
      <w:pPr>
        <w:pStyle w:val="25"/>
        <w:numPr>
          <w:ilvl w:val="0"/>
          <w:numId w:val="1"/>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14:paraId="273132B9">
      <w:pPr>
        <w:snapToGrid w:val="0"/>
        <w:spacing w:line="520" w:lineRule="exact"/>
        <w:ind w:firstLine="640" w:firstLineChars="200"/>
        <w:rPr>
          <w:rFonts w:hint="eastAsia" w:ascii="仿宋_GB2312" w:hAnsi="宋体" w:eastAsia="仿宋_GB2312"/>
          <w:sz w:val="32"/>
          <w:szCs w:val="32"/>
          <w:lang w:eastAsia="zh-CN"/>
        </w:rPr>
      </w:pPr>
      <w:r>
        <w:rPr>
          <w:rFonts w:hint="eastAsia" w:ascii="仿宋" w:hAnsi="仿宋" w:eastAsia="仿宋" w:cs="仿宋"/>
          <w:b w:val="0"/>
          <w:bCs w:val="0"/>
          <w:color w:val="000000"/>
          <w:sz w:val="32"/>
          <w:szCs w:val="32"/>
        </w:rPr>
        <w:t>市司法局201</w:t>
      </w:r>
      <w:r>
        <w:rPr>
          <w:rFonts w:hint="eastAsia" w:ascii="仿宋" w:hAnsi="仿宋" w:eastAsia="仿宋" w:cs="仿宋"/>
          <w:b w:val="0"/>
          <w:bCs w:val="0"/>
          <w:color w:val="000000"/>
          <w:sz w:val="32"/>
          <w:szCs w:val="32"/>
          <w:lang w:val="en-US" w:eastAsia="zh-CN"/>
        </w:rPr>
        <w:t>9</w:t>
      </w:r>
      <w:r>
        <w:rPr>
          <w:rFonts w:hint="eastAsia" w:ascii="仿宋" w:hAnsi="仿宋" w:eastAsia="仿宋" w:cs="仿宋"/>
          <w:b w:val="0"/>
          <w:bCs w:val="0"/>
          <w:color w:val="000000"/>
          <w:sz w:val="32"/>
          <w:szCs w:val="32"/>
        </w:rPr>
        <w:t>年度</w:t>
      </w:r>
      <w:r>
        <w:rPr>
          <w:rFonts w:hint="eastAsia" w:ascii="仿宋" w:hAnsi="仿宋" w:eastAsia="仿宋" w:cs="仿宋"/>
          <w:b w:val="0"/>
          <w:bCs w:val="0"/>
          <w:sz w:val="32"/>
          <w:szCs w:val="32"/>
        </w:rPr>
        <w:t>收入</w:t>
      </w:r>
      <w:r>
        <w:rPr>
          <w:rFonts w:hint="eastAsia" w:ascii="仿宋" w:hAnsi="仿宋" w:eastAsia="仿宋" w:cs="仿宋"/>
          <w:b w:val="0"/>
          <w:bCs w:val="0"/>
          <w:sz w:val="32"/>
          <w:szCs w:val="32"/>
          <w:lang w:eastAsia="zh-CN"/>
        </w:rPr>
        <w:t>决算</w:t>
      </w:r>
      <w:r>
        <w:rPr>
          <w:rFonts w:hint="eastAsia" w:ascii="仿宋" w:hAnsi="仿宋" w:eastAsia="仿宋" w:cs="仿宋"/>
          <w:b w:val="0"/>
          <w:bCs w:val="0"/>
          <w:sz w:val="32"/>
          <w:szCs w:val="32"/>
        </w:rPr>
        <w:t>数</w:t>
      </w:r>
      <w:r>
        <w:rPr>
          <w:rFonts w:hint="eastAsia" w:ascii="仿宋" w:hAnsi="仿宋" w:eastAsia="仿宋" w:cs="仿宋"/>
          <w:b w:val="0"/>
          <w:bCs w:val="0"/>
          <w:sz w:val="32"/>
          <w:szCs w:val="32"/>
          <w:lang w:eastAsia="zh-CN"/>
        </w:rPr>
        <w:t>为</w:t>
      </w:r>
      <w:r>
        <w:rPr>
          <w:rFonts w:hint="eastAsia" w:ascii="仿宋" w:hAnsi="仿宋" w:eastAsia="仿宋" w:cs="仿宋"/>
          <w:b w:val="0"/>
          <w:bCs w:val="0"/>
          <w:sz w:val="32"/>
          <w:szCs w:val="32"/>
          <w:lang w:val="en-US" w:eastAsia="zh-CN"/>
        </w:rPr>
        <w:t>1982.56</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支出决算</w:t>
      </w:r>
      <w:r>
        <w:rPr>
          <w:rFonts w:hint="eastAsia" w:ascii="仿宋" w:hAnsi="仿宋" w:eastAsia="仿宋" w:cs="仿宋"/>
          <w:b w:val="0"/>
          <w:bCs w:val="0"/>
          <w:sz w:val="32"/>
          <w:szCs w:val="32"/>
        </w:rPr>
        <w:t>数</w:t>
      </w:r>
      <w:r>
        <w:rPr>
          <w:rFonts w:hint="eastAsia" w:ascii="仿宋" w:hAnsi="仿宋" w:eastAsia="仿宋" w:cs="仿宋"/>
          <w:b w:val="0"/>
          <w:bCs w:val="0"/>
          <w:sz w:val="32"/>
          <w:szCs w:val="32"/>
          <w:lang w:eastAsia="zh-CN"/>
        </w:rPr>
        <w:t>为</w:t>
      </w:r>
      <w:r>
        <w:rPr>
          <w:rFonts w:hint="eastAsia" w:ascii="仿宋" w:hAnsi="仿宋" w:eastAsia="仿宋" w:cs="仿宋"/>
          <w:b w:val="0"/>
          <w:bCs w:val="0"/>
          <w:kern w:val="0"/>
          <w:sz w:val="32"/>
          <w:szCs w:val="32"/>
          <w:lang w:val="en-US" w:eastAsia="zh-CN"/>
        </w:rPr>
        <w:t>1790.18</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r>
        <w:rPr>
          <w:rFonts w:hint="eastAsia" w:ascii="仿宋" w:hAnsi="仿宋" w:eastAsia="仿宋"/>
          <w:color w:val="000000"/>
          <w:sz w:val="32"/>
          <w:szCs w:val="32"/>
        </w:rPr>
        <w:t>与2018年相比，收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总计增加</w:t>
      </w:r>
      <w:r>
        <w:rPr>
          <w:rFonts w:hint="eastAsia" w:ascii="仿宋_GB2312" w:hAnsi="仿宋" w:eastAsia="仿宋_GB2312"/>
          <w:sz w:val="32"/>
          <w:szCs w:val="32"/>
          <w:lang w:val="en-US" w:eastAsia="zh-CN"/>
        </w:rPr>
        <w:t>622.04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31.37</w:t>
      </w:r>
      <w:r>
        <w:rPr>
          <w:rFonts w:ascii="仿宋" w:hAnsi="仿宋" w:eastAsia="仿宋"/>
          <w:color w:val="000000"/>
          <w:sz w:val="32"/>
          <w:szCs w:val="32"/>
        </w:rPr>
        <w:t>%</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总计增加</w:t>
      </w:r>
      <w:r>
        <w:rPr>
          <w:rFonts w:hint="eastAsia" w:ascii="仿宋_GB2312" w:hAnsi="仿宋" w:eastAsia="仿宋_GB2312"/>
          <w:sz w:val="32"/>
          <w:szCs w:val="32"/>
          <w:lang w:val="en-US" w:eastAsia="zh-CN"/>
        </w:rPr>
        <w:t>431.07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24.08</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w:t>
      </w:r>
      <w:r>
        <w:rPr>
          <w:rFonts w:hint="eastAsia" w:ascii="仿宋_GB2312" w:hAnsi="仿宋" w:eastAsia="仿宋_GB2312"/>
          <w:sz w:val="32"/>
          <w:szCs w:val="32"/>
        </w:rPr>
        <w:t>：</w:t>
      </w:r>
      <w:r>
        <w:rPr>
          <w:rFonts w:hint="eastAsia" w:ascii="仿宋_GB2312" w:hAnsi="仿宋" w:eastAsia="仿宋_GB2312"/>
          <w:sz w:val="32"/>
          <w:szCs w:val="32"/>
          <w:lang w:eastAsia="zh-CN"/>
        </w:rPr>
        <w:t>机构改革，市仲裁办、</w:t>
      </w:r>
      <w:r>
        <w:rPr>
          <w:rFonts w:hint="eastAsia" w:ascii="仿宋_GB2312" w:eastAsia="仿宋_GB2312"/>
          <w:color w:val="000000"/>
          <w:sz w:val="32"/>
          <w:szCs w:val="32"/>
          <w:lang w:eastAsia="zh-CN"/>
        </w:rPr>
        <w:t>市法制办合并到市司法局，人员和</w:t>
      </w:r>
      <w:r>
        <w:rPr>
          <w:rFonts w:hint="eastAsia" w:ascii="仿宋_GB2312" w:eastAsia="仿宋_GB2312"/>
          <w:color w:val="000000"/>
          <w:sz w:val="32"/>
          <w:szCs w:val="32"/>
        </w:rPr>
        <w:t>工作职能增加，</w:t>
      </w:r>
      <w:r>
        <w:rPr>
          <w:rFonts w:hint="eastAsia" w:ascii="仿宋_GB2312" w:hAnsi="宋体" w:eastAsia="仿宋_GB2312"/>
          <w:sz w:val="32"/>
          <w:szCs w:val="32"/>
          <w:lang w:eastAsia="zh-CN"/>
        </w:rPr>
        <w:t>人员经费和工作</w:t>
      </w:r>
      <w:r>
        <w:rPr>
          <w:rFonts w:hint="eastAsia" w:ascii="仿宋_GB2312" w:hAnsi="宋体" w:eastAsia="仿宋_GB2312"/>
          <w:sz w:val="32"/>
          <w:szCs w:val="32"/>
        </w:rPr>
        <w:t>经费增加</w:t>
      </w:r>
      <w:r>
        <w:rPr>
          <w:rFonts w:hint="eastAsia" w:ascii="仿宋_GB2312" w:hAnsi="宋体" w:eastAsia="仿宋_GB2312"/>
          <w:sz w:val="32"/>
          <w:szCs w:val="32"/>
          <w:lang w:eastAsia="zh-CN"/>
        </w:rPr>
        <w:t>。</w:t>
      </w:r>
    </w:p>
    <w:p w14:paraId="4FB45148">
      <w:pPr>
        <w:pStyle w:val="2"/>
        <w:ind w:left="0" w:leftChars="0" w:firstLine="0" w:firstLineChars="0"/>
      </w:pPr>
      <w:r>
        <w:rPr>
          <w:rFonts w:hint="eastAsia" w:ascii="仿宋_GB2312" w:hAnsi="宋体"/>
          <w:sz w:val="32"/>
          <w:szCs w:val="32"/>
          <w:lang w:val="en-US" w:eastAsia="zh-CN"/>
        </w:rPr>
        <w:t xml:space="preserve">   </w:t>
      </w:r>
      <w:r>
        <w:rPr>
          <w:rFonts w:hint="eastAsia"/>
          <w:lang w:eastAsia="zh-CN"/>
        </w:rPr>
        <w:drawing>
          <wp:inline distT="0" distB="0" distL="114300" distR="114300">
            <wp:extent cx="4213225" cy="2572385"/>
            <wp:effectExtent l="4445" t="4445" r="1143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7026590">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751B71B2">
      <w:pPr>
        <w:pStyle w:val="25"/>
        <w:numPr>
          <w:ilvl w:val="0"/>
          <w:numId w:val="1"/>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14:paraId="5DA0E6E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1982.56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1982.56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571B2E4B">
      <w:pPr>
        <w:rPr>
          <w:rFonts w:hint="eastAsia" w:ascii="仿宋" w:hAnsi="仿宋" w:eastAsia="仿宋"/>
          <w:color w:val="000000" w:themeColor="text1"/>
          <w:sz w:val="32"/>
          <w:szCs w:val="32"/>
        </w:rPr>
      </w:pPr>
    </w:p>
    <w:p w14:paraId="42AE4805">
      <w:pPr>
        <w:pStyle w:val="2"/>
        <w:ind w:left="0" w:leftChars="0" w:firstLine="0" w:firstLineChars="0"/>
        <w:rPr>
          <w:rFonts w:hint="eastAsia"/>
        </w:rPr>
      </w:pPr>
      <w:r>
        <w:rPr>
          <w:rFonts w:hint="eastAsia"/>
          <w:lang w:val="en-US" w:eastAsia="zh-CN"/>
        </w:rPr>
        <w:t xml:space="preserve">      </w:t>
      </w:r>
      <w:r>
        <w:rPr>
          <w:rFonts w:hint="eastAsia" w:eastAsia="仿宋_GB2312"/>
          <w:lang w:eastAsia="zh-CN"/>
        </w:rPr>
        <w:drawing>
          <wp:inline distT="0" distB="0" distL="114300" distR="114300">
            <wp:extent cx="2355850" cy="2209165"/>
            <wp:effectExtent l="4445" t="4445" r="2095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BD0AC5">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14:paraId="71953B88">
      <w:pPr>
        <w:pStyle w:val="25"/>
        <w:numPr>
          <w:ilvl w:val="0"/>
          <w:numId w:val="1"/>
        </w:numPr>
        <w:spacing w:line="600" w:lineRule="exact"/>
        <w:ind w:firstLineChars="0"/>
        <w:outlineLvl w:val="1"/>
        <w:rPr>
          <w:rStyle w:val="27"/>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14:paraId="608345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s="仿宋"/>
          <w:b w:val="0"/>
          <w:bCs w:val="0"/>
          <w:kern w:val="0"/>
          <w:sz w:val="32"/>
          <w:szCs w:val="32"/>
          <w:lang w:val="en-US" w:eastAsia="zh-CN"/>
        </w:rPr>
        <w:t>1790.18</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sz w:val="32"/>
          <w:szCs w:val="32"/>
        </w:rPr>
        <w:t>其中：基本支出</w:t>
      </w:r>
      <w:r>
        <w:rPr>
          <w:rFonts w:hint="eastAsia" w:ascii="仿宋" w:hAnsi="仿宋" w:eastAsia="仿宋" w:cs="仿宋"/>
          <w:b w:val="0"/>
          <w:bCs w:val="0"/>
          <w:color w:val="000000"/>
          <w:sz w:val="32"/>
          <w:szCs w:val="32"/>
          <w:lang w:val="en-US" w:eastAsia="zh-CN"/>
        </w:rPr>
        <w:t>1406.42</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78.57</w:t>
      </w:r>
      <w:r>
        <w:rPr>
          <w:rFonts w:hint="eastAsia" w:ascii="仿宋" w:hAnsi="仿宋" w:eastAsia="仿宋" w:cs="仿宋"/>
          <w:b w:val="0"/>
          <w:bCs w:val="0"/>
          <w:color w:val="000000"/>
          <w:sz w:val="32"/>
          <w:szCs w:val="32"/>
        </w:rPr>
        <w:t>%；项目支出</w:t>
      </w:r>
      <w:r>
        <w:rPr>
          <w:rFonts w:hint="eastAsia" w:ascii="仿宋" w:hAnsi="仿宋" w:eastAsia="仿宋" w:cs="仿宋"/>
          <w:b w:val="0"/>
          <w:bCs w:val="0"/>
          <w:color w:val="000000"/>
          <w:sz w:val="32"/>
          <w:szCs w:val="32"/>
          <w:lang w:val="en-US" w:eastAsia="zh-CN"/>
        </w:rPr>
        <w:t>383.76</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21.43</w:t>
      </w:r>
      <w:r>
        <w:rPr>
          <w:rFonts w:hint="eastAsia" w:ascii="仿宋" w:hAnsi="仿宋" w:eastAsia="仿宋" w:cs="仿宋"/>
          <w:b w:val="0"/>
          <w:bCs w:val="0"/>
          <w:color w:val="000000"/>
          <w:sz w:val="32"/>
          <w:szCs w:val="32"/>
        </w:rPr>
        <w:t>%。</w:t>
      </w:r>
    </w:p>
    <w:p w14:paraId="05319328">
      <w:r>
        <w:rPr>
          <w:rFonts w:hint="eastAsia" w:eastAsia="仿宋_GB2312"/>
          <w:lang w:val="en-US" w:eastAsia="zh-CN"/>
        </w:rPr>
        <w:t xml:space="preserve">         </w:t>
      </w:r>
      <w:r>
        <w:rPr>
          <w:rFonts w:hint="eastAsia" w:eastAsia="仿宋_GB2312"/>
          <w:lang w:eastAsia="zh-CN"/>
        </w:rPr>
        <w:drawing>
          <wp:inline distT="0" distB="0" distL="114300" distR="114300">
            <wp:extent cx="2290445" cy="2209800"/>
            <wp:effectExtent l="4445" t="4445" r="1016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F135F2">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（图3：支出决算结构图）（饼状图）</w:t>
      </w:r>
    </w:p>
    <w:p w14:paraId="0A19AE4D">
      <w:pPr>
        <w:spacing w:line="600" w:lineRule="exact"/>
        <w:ind w:firstLine="640" w:firstLineChars="200"/>
        <w:outlineLvl w:val="1"/>
        <w:rPr>
          <w:rStyle w:val="2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14:paraId="3F59A887">
      <w:pPr>
        <w:snapToGrid w:val="0"/>
        <w:spacing w:line="520" w:lineRule="exact"/>
        <w:ind w:firstLine="640" w:firstLineChars="200"/>
        <w:rPr>
          <w:rFonts w:hint="eastAsia" w:ascii="仿宋_GB2312" w:hAnsi="宋体" w:eastAsia="仿宋_GB2312"/>
          <w:sz w:val="32"/>
          <w:szCs w:val="32"/>
          <w:lang w:eastAsia="zh-CN"/>
        </w:rPr>
      </w:pPr>
      <w:r>
        <w:rPr>
          <w:rFonts w:hint="eastAsia" w:ascii="仿宋" w:hAnsi="仿宋" w:eastAsia="仿宋" w:cs="仿宋"/>
          <w:b w:val="0"/>
          <w:bCs w:val="0"/>
          <w:color w:val="000000"/>
          <w:sz w:val="32"/>
          <w:szCs w:val="32"/>
        </w:rPr>
        <w:t>市司法局201</w:t>
      </w:r>
      <w:r>
        <w:rPr>
          <w:rFonts w:hint="eastAsia" w:ascii="仿宋" w:hAnsi="仿宋" w:eastAsia="仿宋" w:cs="仿宋"/>
          <w:b w:val="0"/>
          <w:bCs w:val="0"/>
          <w:color w:val="000000"/>
          <w:sz w:val="32"/>
          <w:szCs w:val="32"/>
          <w:lang w:val="en-US" w:eastAsia="zh-CN"/>
        </w:rPr>
        <w:t>9</w:t>
      </w:r>
      <w:r>
        <w:rPr>
          <w:rFonts w:hint="eastAsia" w:ascii="仿宋" w:hAnsi="仿宋" w:eastAsia="仿宋" w:cs="仿宋"/>
          <w:b w:val="0"/>
          <w:bCs w:val="0"/>
          <w:color w:val="000000"/>
          <w:sz w:val="32"/>
          <w:szCs w:val="32"/>
        </w:rPr>
        <w:t>年度</w:t>
      </w:r>
      <w:r>
        <w:rPr>
          <w:rFonts w:hint="eastAsia" w:ascii="仿宋" w:hAnsi="仿宋" w:eastAsia="仿宋"/>
          <w:color w:val="000000"/>
          <w:sz w:val="32"/>
          <w:szCs w:val="32"/>
        </w:rPr>
        <w:t>财政拨款</w:t>
      </w:r>
      <w:r>
        <w:rPr>
          <w:rFonts w:hint="eastAsia" w:ascii="仿宋" w:hAnsi="仿宋" w:eastAsia="仿宋" w:cs="仿宋"/>
          <w:b w:val="0"/>
          <w:bCs w:val="0"/>
          <w:sz w:val="32"/>
          <w:szCs w:val="32"/>
        </w:rPr>
        <w:t>收入</w:t>
      </w:r>
      <w:r>
        <w:rPr>
          <w:rFonts w:hint="eastAsia" w:ascii="仿宋" w:hAnsi="仿宋" w:eastAsia="仿宋" w:cs="仿宋"/>
          <w:b w:val="0"/>
          <w:bCs w:val="0"/>
          <w:sz w:val="32"/>
          <w:szCs w:val="32"/>
          <w:lang w:eastAsia="zh-CN"/>
        </w:rPr>
        <w:t>总计</w:t>
      </w:r>
      <w:r>
        <w:rPr>
          <w:rFonts w:hint="eastAsia" w:ascii="仿宋" w:hAnsi="仿宋" w:eastAsia="仿宋" w:cs="仿宋"/>
          <w:b w:val="0"/>
          <w:bCs w:val="0"/>
          <w:sz w:val="32"/>
          <w:szCs w:val="32"/>
          <w:lang w:val="en-US" w:eastAsia="zh-CN"/>
        </w:rPr>
        <w:t>1982.56</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支出总计</w:t>
      </w:r>
      <w:r>
        <w:rPr>
          <w:rFonts w:hint="eastAsia" w:ascii="仿宋" w:hAnsi="仿宋" w:eastAsia="仿宋" w:cs="仿宋"/>
          <w:b w:val="0"/>
          <w:bCs w:val="0"/>
          <w:kern w:val="0"/>
          <w:sz w:val="32"/>
          <w:szCs w:val="32"/>
          <w:lang w:val="en-US" w:eastAsia="zh-CN"/>
        </w:rPr>
        <w:t>1790.07</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w:t>
      </w:r>
      <w:r>
        <w:rPr>
          <w:rFonts w:hint="eastAsia" w:ascii="仿宋" w:hAnsi="仿宋" w:eastAsia="仿宋"/>
          <w:color w:val="000000"/>
          <w:sz w:val="32"/>
          <w:szCs w:val="32"/>
        </w:rPr>
        <w:t>与2018年相比，</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总计增加</w:t>
      </w:r>
      <w:r>
        <w:rPr>
          <w:rFonts w:hint="eastAsia" w:ascii="仿宋_GB2312" w:hAnsi="仿宋" w:eastAsia="仿宋_GB2312"/>
          <w:sz w:val="32"/>
          <w:szCs w:val="32"/>
          <w:lang w:val="en-US" w:eastAsia="zh-CN"/>
        </w:rPr>
        <w:t>622.04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31.37</w:t>
      </w:r>
      <w:r>
        <w:rPr>
          <w:rFonts w:ascii="仿宋" w:hAnsi="仿宋" w:eastAsia="仿宋"/>
          <w:color w:val="000000"/>
          <w:sz w:val="32"/>
          <w:szCs w:val="32"/>
        </w:rPr>
        <w:t>%</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总计增加</w:t>
      </w:r>
      <w:r>
        <w:rPr>
          <w:rFonts w:hint="eastAsia" w:ascii="仿宋_GB2312" w:hAnsi="仿宋" w:eastAsia="仿宋_GB2312"/>
          <w:sz w:val="32"/>
          <w:szCs w:val="32"/>
          <w:lang w:val="en-US" w:eastAsia="zh-CN"/>
        </w:rPr>
        <w:t>430.96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24.08</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w:t>
      </w:r>
      <w:r>
        <w:rPr>
          <w:rFonts w:hint="eastAsia" w:ascii="仿宋_GB2312" w:hAnsi="仿宋" w:eastAsia="仿宋_GB2312"/>
          <w:sz w:val="32"/>
          <w:szCs w:val="32"/>
        </w:rPr>
        <w:t>：</w:t>
      </w:r>
      <w:r>
        <w:rPr>
          <w:rFonts w:hint="eastAsia" w:ascii="仿宋_GB2312" w:hAnsi="仿宋" w:eastAsia="仿宋_GB2312"/>
          <w:sz w:val="32"/>
          <w:szCs w:val="32"/>
          <w:lang w:eastAsia="zh-CN"/>
        </w:rPr>
        <w:t>机构改革，市仲裁办、</w:t>
      </w:r>
      <w:r>
        <w:rPr>
          <w:rFonts w:hint="eastAsia" w:ascii="仿宋_GB2312" w:eastAsia="仿宋_GB2312"/>
          <w:color w:val="000000"/>
          <w:sz w:val="32"/>
          <w:szCs w:val="32"/>
          <w:lang w:eastAsia="zh-CN"/>
        </w:rPr>
        <w:t>市法制办合并到市司法局，人员和</w:t>
      </w:r>
      <w:r>
        <w:rPr>
          <w:rFonts w:hint="eastAsia" w:ascii="仿宋_GB2312" w:eastAsia="仿宋_GB2312"/>
          <w:color w:val="000000"/>
          <w:sz w:val="32"/>
          <w:szCs w:val="32"/>
        </w:rPr>
        <w:t>工作职能增加，</w:t>
      </w:r>
      <w:r>
        <w:rPr>
          <w:rFonts w:hint="eastAsia" w:ascii="仿宋_GB2312" w:hAnsi="宋体" w:eastAsia="仿宋_GB2312"/>
          <w:sz w:val="32"/>
          <w:szCs w:val="32"/>
          <w:lang w:eastAsia="zh-CN"/>
        </w:rPr>
        <w:t>人员经费和工作</w:t>
      </w:r>
      <w:r>
        <w:rPr>
          <w:rFonts w:hint="eastAsia" w:ascii="仿宋_GB2312" w:hAnsi="宋体" w:eastAsia="仿宋_GB2312"/>
          <w:sz w:val="32"/>
          <w:szCs w:val="32"/>
        </w:rPr>
        <w:t>经费增加</w:t>
      </w:r>
      <w:r>
        <w:rPr>
          <w:rFonts w:hint="eastAsia" w:ascii="仿宋_GB2312" w:hAnsi="宋体" w:eastAsia="仿宋_GB2312"/>
          <w:sz w:val="32"/>
          <w:szCs w:val="32"/>
          <w:lang w:eastAsia="zh-CN"/>
        </w:rPr>
        <w:t>。</w:t>
      </w:r>
    </w:p>
    <w:p w14:paraId="1F9086FE">
      <w:pPr>
        <w:pStyle w:val="2"/>
        <w:ind w:left="0" w:leftChars="0" w:firstLine="0" w:firstLineChars="0"/>
      </w:pPr>
      <w:r>
        <w:rPr>
          <w:rFonts w:hint="eastAsia" w:ascii="仿宋_GB2312" w:hAnsi="宋体"/>
          <w:sz w:val="32"/>
          <w:szCs w:val="32"/>
          <w:lang w:val="en-US" w:eastAsia="zh-CN"/>
        </w:rPr>
        <w:t xml:space="preserve">   </w:t>
      </w:r>
      <w:r>
        <w:rPr>
          <w:rFonts w:hint="eastAsia"/>
          <w:lang w:eastAsia="zh-CN"/>
        </w:rPr>
        <w:drawing>
          <wp:inline distT="0" distB="0" distL="114300" distR="114300">
            <wp:extent cx="4213225" cy="2572385"/>
            <wp:effectExtent l="4445" t="4445" r="11430"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F6BDD6">
      <w:pPr>
        <w:spacing w:line="600" w:lineRule="exact"/>
        <w:ind w:firstLine="640" w:firstLineChars="200"/>
        <w:rPr>
          <w:rFonts w:ascii="仿宋" w:hAnsi="仿宋" w:eastAsia="仿宋"/>
          <w:color w:val="000000" w:themeColor="text1"/>
          <w:sz w:val="32"/>
          <w:szCs w:val="32"/>
        </w:rPr>
      </w:pPr>
      <w:bookmarkStart w:id="32" w:name="_Toc15396607"/>
      <w:bookmarkStart w:id="33" w:name="_Toc15377209"/>
      <w:r>
        <w:rPr>
          <w:rFonts w:hint="eastAsia" w:ascii="仿宋" w:hAnsi="仿宋" w:eastAsia="仿宋"/>
          <w:color w:val="000000" w:themeColor="text1"/>
          <w:sz w:val="32"/>
          <w:szCs w:val="32"/>
        </w:rPr>
        <w:t>（图4：财政拨款收、支决算总计变动情况）（柱状图）</w:t>
      </w:r>
    </w:p>
    <w:p w14:paraId="286D921D">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14:paraId="7A67506C">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0E3AF526">
      <w:pPr>
        <w:snapToGrid w:val="0"/>
        <w:spacing w:line="520" w:lineRule="exact"/>
        <w:ind w:firstLine="640" w:firstLineChars="200"/>
        <w:rPr>
          <w:rFonts w:hint="eastAsia" w:ascii="仿宋_GB2312" w:hAnsi="宋体" w:eastAsia="仿宋_GB2312"/>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1790.07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99.99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总计增加</w:t>
      </w:r>
      <w:r>
        <w:rPr>
          <w:rFonts w:hint="eastAsia" w:ascii="仿宋_GB2312" w:hAnsi="仿宋" w:eastAsia="仿宋_GB2312"/>
          <w:sz w:val="32"/>
          <w:szCs w:val="32"/>
          <w:lang w:val="en-US" w:eastAsia="zh-CN"/>
        </w:rPr>
        <w:t>430.96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24.08</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主要变动原因是</w:t>
      </w:r>
      <w:r>
        <w:rPr>
          <w:rFonts w:hint="eastAsia" w:ascii="仿宋_GB2312" w:hAnsi="仿宋" w:eastAsia="仿宋_GB2312"/>
          <w:sz w:val="32"/>
          <w:szCs w:val="32"/>
          <w:lang w:eastAsia="zh-CN"/>
        </w:rPr>
        <w:t>机构改革，市仲裁办、</w:t>
      </w:r>
      <w:r>
        <w:rPr>
          <w:rFonts w:hint="eastAsia" w:ascii="仿宋_GB2312" w:eastAsia="仿宋_GB2312"/>
          <w:color w:val="000000"/>
          <w:sz w:val="32"/>
          <w:szCs w:val="32"/>
          <w:lang w:eastAsia="zh-CN"/>
        </w:rPr>
        <w:t>市法制办合并到市司法局，人员和</w:t>
      </w:r>
      <w:r>
        <w:rPr>
          <w:rFonts w:hint="eastAsia" w:ascii="仿宋_GB2312" w:eastAsia="仿宋_GB2312"/>
          <w:color w:val="000000"/>
          <w:sz w:val="32"/>
          <w:szCs w:val="32"/>
        </w:rPr>
        <w:t>工作职能增加，</w:t>
      </w:r>
      <w:r>
        <w:rPr>
          <w:rFonts w:hint="eastAsia" w:ascii="仿宋_GB2312" w:hAnsi="宋体" w:eastAsia="仿宋_GB2312"/>
          <w:sz w:val="32"/>
          <w:szCs w:val="32"/>
          <w:lang w:eastAsia="zh-CN"/>
        </w:rPr>
        <w:t>人员经费和工作</w:t>
      </w:r>
      <w:r>
        <w:rPr>
          <w:rFonts w:hint="eastAsia" w:ascii="仿宋_GB2312" w:hAnsi="宋体" w:eastAsia="仿宋_GB2312"/>
          <w:sz w:val="32"/>
          <w:szCs w:val="32"/>
        </w:rPr>
        <w:t>经费增加</w:t>
      </w:r>
      <w:r>
        <w:rPr>
          <w:rFonts w:hint="eastAsia" w:ascii="仿宋_GB2312" w:hAnsi="宋体" w:eastAsia="仿宋_GB2312"/>
          <w:sz w:val="32"/>
          <w:szCs w:val="32"/>
          <w:lang w:eastAsia="zh-CN"/>
        </w:rPr>
        <w:t>。</w:t>
      </w:r>
    </w:p>
    <w:p w14:paraId="5DC1D181">
      <w:pPr>
        <w:pStyle w:val="2"/>
        <w:ind w:left="0" w:leftChars="0" w:firstLine="0" w:firstLineChars="0"/>
      </w:pPr>
      <w:r>
        <w:rPr>
          <w:rFonts w:hint="eastAsia"/>
          <w:lang w:val="en-US" w:eastAsia="zh-CN"/>
        </w:rPr>
        <w:t xml:space="preserve">   </w:t>
      </w:r>
      <w:r>
        <w:rPr>
          <w:rFonts w:hint="eastAsia"/>
          <w:lang w:eastAsia="zh-CN"/>
        </w:rPr>
        <w:drawing>
          <wp:inline distT="0" distB="0" distL="114300" distR="114300">
            <wp:extent cx="4070350" cy="2172335"/>
            <wp:effectExtent l="5080" t="4445" r="20320" b="139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8A4270">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0B3C4A94">
      <w:pPr>
        <w:spacing w:line="600" w:lineRule="exact"/>
        <w:ind w:firstLine="640" w:firstLineChars="200"/>
        <w:rPr>
          <w:rFonts w:ascii="仿宋" w:hAnsi="仿宋" w:eastAsia="仿宋"/>
          <w:color w:val="000000" w:themeColor="text1"/>
          <w:sz w:val="32"/>
          <w:szCs w:val="32"/>
        </w:rPr>
      </w:pPr>
    </w:p>
    <w:p w14:paraId="65D56BE0">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5723A3E3">
      <w:pPr>
        <w:spacing w:line="600" w:lineRule="exact"/>
        <w:ind w:firstLine="640" w:firstLineChars="200"/>
        <w:rPr>
          <w:rFonts w:hint="eastAsia" w:ascii="仿宋" w:hAnsi="仿宋" w:eastAsia="仿宋"/>
          <w:color w:val="000000" w:themeColor="text1"/>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lang w:val="en-US" w:eastAsia="zh-CN"/>
        </w:rPr>
        <w:t>1790.07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257.20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14.37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公共安全</w:t>
      </w:r>
      <w:r>
        <w:rPr>
          <w:rFonts w:hint="eastAsia" w:ascii="仿宋" w:hAnsi="仿宋" w:eastAsia="仿宋"/>
          <w:b/>
          <w:color w:val="000000" w:themeColor="text1"/>
          <w:sz w:val="32"/>
          <w:szCs w:val="32"/>
        </w:rPr>
        <w:t>（类）</w:t>
      </w:r>
      <w:r>
        <w:rPr>
          <w:rFonts w:hint="eastAsia" w:ascii="仿宋" w:hAnsi="仿宋" w:eastAsia="仿宋"/>
          <w:b/>
          <w:color w:val="000000" w:themeColor="text1"/>
          <w:sz w:val="32"/>
          <w:szCs w:val="32"/>
          <w:lang w:eastAsia="zh-CN"/>
        </w:rPr>
        <w:t>支出</w:t>
      </w:r>
      <w:r>
        <w:rPr>
          <w:rFonts w:hint="eastAsia" w:ascii="仿宋" w:hAnsi="仿宋" w:eastAsia="仿宋"/>
          <w:color w:val="000000" w:themeColor="text1"/>
          <w:sz w:val="32"/>
          <w:szCs w:val="32"/>
          <w:lang w:val="en-US" w:eastAsia="zh-CN"/>
        </w:rPr>
        <w:t>1260.34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70.41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108.08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6.03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54.83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3.06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w:t>
      </w:r>
      <w:r>
        <w:rPr>
          <w:rFonts w:hint="eastAsia" w:ascii="仿宋" w:hAnsi="仿宋" w:eastAsia="仿宋"/>
          <w:b/>
          <w:bCs/>
          <w:color w:val="000000" w:themeColor="text1"/>
          <w:sz w:val="32"/>
          <w:szCs w:val="32"/>
          <w:lang w:eastAsia="zh-CN"/>
        </w:rPr>
        <w:t>（类）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109.62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6.12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 xml:space="preserve">    </w:t>
      </w:r>
    </w:p>
    <w:p w14:paraId="10C602F3">
      <w:pPr>
        <w:pStyle w:val="2"/>
        <w:ind w:left="0" w:leftChars="0" w:firstLine="0" w:firstLineChars="0"/>
        <w:rPr>
          <w:rFonts w:hint="default"/>
          <w:lang w:val="en-US" w:eastAsia="zh-CN"/>
        </w:rPr>
      </w:pPr>
      <w:r>
        <w:rPr>
          <w:rFonts w:hint="eastAsia"/>
          <w:lang w:val="en-US" w:eastAsia="zh-CN"/>
        </w:rPr>
        <w:t xml:space="preserve">    </w:t>
      </w:r>
      <w:r>
        <w:rPr>
          <w:rFonts w:hint="eastAsia" w:eastAsia="仿宋_GB2312"/>
          <w:lang w:eastAsia="zh-CN"/>
        </w:rPr>
        <w:drawing>
          <wp:inline distT="0" distB="0" distL="114300" distR="114300">
            <wp:extent cx="4546600" cy="2294890"/>
            <wp:effectExtent l="4445" t="4445" r="20955" b="57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DF21E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28780321">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43ABC12E">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1790.18万元</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14:paraId="587B2F74">
      <w:pPr>
        <w:numPr>
          <w:ilvl w:val="0"/>
          <w:numId w:val="0"/>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1、</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政府办公室及相关机构事务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176.42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23.24</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w:t>
      </w:r>
      <w:r>
        <w:rPr>
          <w:rFonts w:hint="eastAsia" w:ascii="仿宋_GB2312" w:hAnsi="仿宋" w:eastAsia="仿宋_GB2312"/>
          <w:sz w:val="32"/>
          <w:szCs w:val="32"/>
          <w:lang w:eastAsia="zh-CN"/>
        </w:rPr>
        <w:t>机构改革，</w:t>
      </w:r>
      <w:r>
        <w:rPr>
          <w:rFonts w:hint="eastAsia" w:ascii="仿宋_GB2312" w:eastAsia="仿宋_GB2312"/>
          <w:color w:val="000000"/>
          <w:sz w:val="32"/>
          <w:szCs w:val="32"/>
          <w:lang w:eastAsia="zh-CN"/>
        </w:rPr>
        <w:t>市法制办合并到市司法局，原法制办人员</w:t>
      </w:r>
      <w:r>
        <w:rPr>
          <w:rFonts w:hint="eastAsia" w:ascii="仿宋_GB2312" w:hAnsi="宋体" w:eastAsia="仿宋_GB2312"/>
          <w:sz w:val="32"/>
          <w:szCs w:val="32"/>
          <w:lang w:eastAsia="zh-CN"/>
        </w:rPr>
        <w:t>的工作</w:t>
      </w:r>
      <w:r>
        <w:rPr>
          <w:rFonts w:hint="eastAsia" w:ascii="仿宋_GB2312" w:hAnsi="宋体" w:eastAsia="仿宋_GB2312"/>
          <w:sz w:val="32"/>
          <w:szCs w:val="32"/>
        </w:rPr>
        <w:t>经费</w:t>
      </w:r>
      <w:r>
        <w:rPr>
          <w:rFonts w:hint="eastAsia" w:ascii="仿宋_GB2312" w:hAnsi="宋体" w:eastAsia="仿宋_GB2312"/>
          <w:sz w:val="32"/>
          <w:szCs w:val="32"/>
          <w:lang w:eastAsia="zh-CN"/>
        </w:rPr>
        <w:t>在市司法局的经费中开支</w:t>
      </w:r>
      <w:r>
        <w:rPr>
          <w:rStyle w:val="16"/>
          <w:rFonts w:hint="eastAsia" w:ascii="仿宋" w:hAnsi="仿宋" w:eastAsia="仿宋"/>
          <w:b w:val="0"/>
          <w:bCs/>
          <w:color w:val="000000"/>
          <w:sz w:val="32"/>
          <w:szCs w:val="32"/>
        </w:rPr>
        <w:t>。</w:t>
      </w:r>
    </w:p>
    <w:p w14:paraId="2D2701E4">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政府办公室及相关机构事务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一般行政管理事务</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80.89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3CD531AF">
      <w:pPr>
        <w:ind w:firstLine="643" w:firstLineChars="200"/>
        <w:rPr>
          <w:rFonts w:hint="eastAsia" w:ascii="仿宋" w:hAnsi="仿宋" w:eastAsia="仿宋"/>
          <w:b/>
          <w:color w:val="000000"/>
          <w:sz w:val="32"/>
          <w:szCs w:val="32"/>
          <w:lang w:eastAsia="zh-CN"/>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Fonts w:hint="eastAsia" w:ascii="黑体" w:hAnsi="黑体" w:eastAsia="黑体"/>
          <w:b/>
          <w:sz w:val="32"/>
        </w:rPr>
        <w:t xml:space="preserve"> </w:t>
      </w:r>
      <w:r>
        <w:rPr>
          <w:rFonts w:hint="eastAsia" w:ascii="仿宋_GB2312" w:hAnsi="黑体" w:eastAsia="仿宋_GB2312"/>
          <w:b/>
          <w:sz w:val="32"/>
        </w:rPr>
        <w:t>公共安全（类）司法（款）行政运行（项）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sz w:val="32"/>
          <w:szCs w:val="32"/>
        </w:rPr>
        <w:t>9</w:t>
      </w:r>
      <w:r>
        <w:rPr>
          <w:rFonts w:hint="eastAsia" w:ascii="仿宋" w:hAnsi="仿宋" w:eastAsia="仿宋"/>
          <w:color w:val="000000"/>
          <w:sz w:val="32"/>
          <w:szCs w:val="32"/>
          <w:lang w:val="en-US" w:eastAsia="zh-CN"/>
        </w:rPr>
        <w:t>39.75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170.78</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rPr>
        <w:t>决算数</w:t>
      </w:r>
      <w:r>
        <w:rPr>
          <w:rStyle w:val="16"/>
          <w:rFonts w:hint="eastAsia" w:ascii="仿宋" w:hAnsi="仿宋" w:eastAsia="仿宋"/>
          <w:b w:val="0"/>
          <w:bCs/>
          <w:color w:val="000000"/>
          <w:sz w:val="32"/>
          <w:szCs w:val="32"/>
          <w:lang w:eastAsia="zh-CN"/>
        </w:rPr>
        <w:t>大于</w:t>
      </w:r>
      <w:r>
        <w:rPr>
          <w:rStyle w:val="16"/>
          <w:rFonts w:hint="eastAsia" w:ascii="仿宋" w:hAnsi="仿宋" w:eastAsia="仿宋"/>
          <w:b w:val="0"/>
          <w:bCs/>
          <w:color w:val="000000"/>
          <w:sz w:val="32"/>
          <w:szCs w:val="32"/>
        </w:rPr>
        <w:t>预算数的主要原因是</w:t>
      </w:r>
      <w:r>
        <w:rPr>
          <w:rFonts w:hint="eastAsia" w:ascii="仿宋_GB2312" w:hAnsi="仿宋" w:eastAsia="仿宋_GB2312"/>
          <w:sz w:val="32"/>
          <w:szCs w:val="32"/>
          <w:lang w:eastAsia="zh-CN"/>
        </w:rPr>
        <w:t>机构改革，</w:t>
      </w:r>
      <w:r>
        <w:rPr>
          <w:rFonts w:hint="eastAsia" w:ascii="仿宋_GB2312" w:eastAsia="仿宋_GB2312"/>
          <w:color w:val="000000"/>
          <w:sz w:val="32"/>
          <w:szCs w:val="32"/>
          <w:lang w:eastAsia="zh-CN"/>
        </w:rPr>
        <w:t>市法制办合并到市司法局，原法制办人员</w:t>
      </w:r>
      <w:r>
        <w:rPr>
          <w:rFonts w:hint="eastAsia" w:ascii="仿宋_GB2312" w:hAnsi="宋体" w:eastAsia="仿宋_GB2312"/>
          <w:sz w:val="32"/>
          <w:szCs w:val="32"/>
          <w:lang w:eastAsia="zh-CN"/>
        </w:rPr>
        <w:t>经费和工作</w:t>
      </w:r>
      <w:r>
        <w:rPr>
          <w:rFonts w:hint="eastAsia" w:ascii="仿宋_GB2312" w:hAnsi="宋体" w:eastAsia="仿宋_GB2312"/>
          <w:sz w:val="32"/>
          <w:szCs w:val="32"/>
        </w:rPr>
        <w:t>经费</w:t>
      </w:r>
      <w:r>
        <w:rPr>
          <w:rFonts w:hint="eastAsia" w:ascii="仿宋_GB2312" w:hAnsi="宋体" w:eastAsia="仿宋_GB2312"/>
          <w:sz w:val="32"/>
          <w:szCs w:val="32"/>
          <w:lang w:eastAsia="zh-CN"/>
        </w:rPr>
        <w:t>在市司法局的经费中开支</w:t>
      </w:r>
      <w:r>
        <w:rPr>
          <w:rStyle w:val="16"/>
          <w:rFonts w:hint="eastAsia" w:ascii="仿宋" w:hAnsi="仿宋" w:eastAsia="仿宋"/>
          <w:b w:val="0"/>
          <w:bCs/>
          <w:color w:val="000000"/>
          <w:sz w:val="32"/>
          <w:szCs w:val="32"/>
        </w:rPr>
        <w:t>。</w:t>
      </w:r>
    </w:p>
    <w:p w14:paraId="5DD7AFE6">
      <w:pPr>
        <w:ind w:firstLine="643" w:firstLineChars="200"/>
        <w:rPr>
          <w:rStyle w:val="16"/>
          <w:rFonts w:hint="eastAsia" w:ascii="仿宋" w:hAnsi="仿宋" w:eastAsia="仿宋"/>
          <w:b w:val="0"/>
          <w:bCs/>
          <w:color w:val="000000"/>
          <w:sz w:val="32"/>
          <w:szCs w:val="32"/>
          <w:lang w:eastAsia="zh-CN"/>
        </w:rPr>
      </w:pPr>
      <w:r>
        <w:rPr>
          <w:rStyle w:val="16"/>
          <w:rFonts w:hint="eastAsia" w:ascii="仿宋" w:hAnsi="仿宋" w:eastAsia="仿宋"/>
          <w:bCs/>
          <w:color w:val="000000"/>
          <w:sz w:val="32"/>
          <w:szCs w:val="32"/>
          <w:lang w:val="en-US" w:eastAsia="zh-CN"/>
        </w:rPr>
        <w:t>4</w:t>
      </w:r>
      <w:r>
        <w:rPr>
          <w:rStyle w:val="16"/>
          <w:rFonts w:ascii="仿宋" w:hAnsi="仿宋" w:eastAsia="仿宋"/>
          <w:bCs/>
          <w:color w:val="000000"/>
          <w:sz w:val="32"/>
          <w:szCs w:val="32"/>
        </w:rPr>
        <w:t>.</w:t>
      </w:r>
      <w:r>
        <w:rPr>
          <w:rFonts w:ascii="仿宋_GB2312" w:hAnsi="Calibri" w:eastAsia="仿宋_GB2312"/>
          <w:b/>
          <w:color w:val="000000"/>
          <w:sz w:val="32"/>
        </w:rPr>
        <w:t xml:space="preserve"> </w:t>
      </w:r>
      <w:r>
        <w:rPr>
          <w:rFonts w:hint="eastAsia" w:ascii="仿宋_GB2312" w:hAnsi="黑体" w:eastAsia="仿宋_GB2312"/>
          <w:b/>
          <w:sz w:val="32"/>
        </w:rPr>
        <w:t>公共安全（类）司法（款）一般行政管理事务（项）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153.56</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14:paraId="397C4870">
      <w:pPr>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Fonts w:hint="eastAsia" w:ascii="仿宋_GB2312" w:hAnsi="黑体" w:eastAsia="仿宋_GB2312"/>
          <w:b/>
          <w:sz w:val="32"/>
        </w:rPr>
        <w:t xml:space="preserve"> 公共安全（类）司法（款）事业运行（项）</w:t>
      </w:r>
      <w:r>
        <w:rPr>
          <w:rFonts w:ascii="仿宋_GB2312" w:hAnsi="Calibri" w:eastAsia="仿宋_GB2312"/>
          <w:b/>
          <w:color w:val="000000"/>
          <w:sz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17.72</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686F632D">
      <w:pPr>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lang w:val="en-US" w:eastAsia="zh-CN"/>
        </w:rPr>
        <w:t>6</w:t>
      </w:r>
      <w:r>
        <w:rPr>
          <w:rStyle w:val="16"/>
          <w:rFonts w:ascii="仿宋" w:hAnsi="仿宋" w:eastAsia="仿宋"/>
          <w:bCs/>
          <w:color w:val="000000"/>
          <w:sz w:val="32"/>
          <w:szCs w:val="32"/>
        </w:rPr>
        <w:t>.</w:t>
      </w:r>
      <w:r>
        <w:rPr>
          <w:rFonts w:hint="eastAsia" w:ascii="仿宋_GB2312" w:hAnsi="黑体" w:eastAsia="仿宋_GB2312"/>
          <w:b/>
          <w:sz w:val="32"/>
        </w:rPr>
        <w:t xml:space="preserve"> 公共安全（类）司法（款）基层司法业务（项）</w:t>
      </w:r>
      <w:r>
        <w:rPr>
          <w:rFonts w:ascii="仿宋_GB2312" w:hAnsi="Calibri" w:eastAsia="仿宋_GB2312"/>
          <w:b/>
          <w:color w:val="000000"/>
          <w:sz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0.56</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716C09BA">
      <w:pPr>
        <w:ind w:firstLine="640"/>
        <w:rPr>
          <w:rFonts w:ascii="仿宋_GB2312" w:hAnsi="Calibri" w:eastAsia="仿宋_GB2312"/>
          <w:color w:val="000000"/>
          <w:sz w:val="32"/>
        </w:rPr>
      </w:pPr>
      <w:r>
        <w:rPr>
          <w:rFonts w:hint="eastAsia" w:ascii="仿宋_GB2312" w:hAnsi="Calibri" w:eastAsia="仿宋_GB2312"/>
          <w:b/>
          <w:color w:val="000000"/>
          <w:sz w:val="32"/>
          <w:lang w:val="en-US" w:eastAsia="zh-CN"/>
        </w:rPr>
        <w:t>7</w:t>
      </w:r>
      <w:r>
        <w:rPr>
          <w:rFonts w:ascii="仿宋_GB2312" w:hAnsi="Calibri" w:eastAsia="仿宋_GB2312"/>
          <w:b/>
          <w:color w:val="000000"/>
          <w:sz w:val="32"/>
        </w:rPr>
        <w:t>.</w:t>
      </w:r>
      <w:r>
        <w:rPr>
          <w:rFonts w:hint="eastAsia" w:ascii="仿宋_GB2312" w:hAnsi="黑体" w:eastAsia="仿宋_GB2312"/>
          <w:b/>
          <w:sz w:val="32"/>
        </w:rPr>
        <w:t xml:space="preserve"> 公共安全（类）司法（款）普法宣传（项）</w:t>
      </w:r>
      <w:r>
        <w:rPr>
          <w:rFonts w:ascii="仿宋_GB2312" w:hAnsi="Calibri" w:eastAsia="仿宋_GB2312"/>
          <w:b/>
          <w:color w:val="000000"/>
          <w:sz w:val="32"/>
        </w:rPr>
        <w:t>:</w:t>
      </w:r>
      <w:r>
        <w:rPr>
          <w:rFonts w:ascii="仿宋_GB2312" w:hAnsi="Calibri" w:eastAsia="仿宋_GB2312"/>
          <w:color w:val="000000"/>
          <w:sz w:val="32"/>
        </w:rPr>
        <w:t xml:space="preserve"> 支出决算为</w:t>
      </w:r>
      <w:r>
        <w:rPr>
          <w:rFonts w:hint="eastAsia" w:ascii="仿宋_GB2312" w:hAnsi="Calibri" w:eastAsia="仿宋_GB2312"/>
          <w:color w:val="000000"/>
          <w:sz w:val="32"/>
          <w:lang w:val="en-US" w:eastAsia="zh-CN"/>
        </w:rPr>
        <w:t>54</w:t>
      </w:r>
      <w:r>
        <w:rPr>
          <w:rFonts w:ascii="仿宋_GB2312" w:hAnsi="Calibri" w:eastAsia="仿宋_GB2312"/>
          <w:color w:val="000000"/>
          <w:sz w:val="32"/>
        </w:rPr>
        <w:t>万元，完成预算100%。</w:t>
      </w:r>
    </w:p>
    <w:p w14:paraId="4D9CC9E8">
      <w:pPr>
        <w:ind w:firstLine="640"/>
        <w:rPr>
          <w:rFonts w:ascii="仿宋_GB2312" w:hAnsi="Calibri" w:eastAsia="仿宋_GB2312"/>
          <w:b/>
          <w:color w:val="000000"/>
          <w:sz w:val="32"/>
        </w:rPr>
      </w:pPr>
      <w:r>
        <w:rPr>
          <w:rFonts w:hint="eastAsia" w:ascii="仿宋_GB2312" w:hAnsi="Calibri" w:eastAsia="仿宋_GB2312"/>
          <w:b/>
          <w:color w:val="000000"/>
          <w:sz w:val="32"/>
          <w:lang w:val="en-US" w:eastAsia="zh-CN"/>
        </w:rPr>
        <w:t>8</w:t>
      </w:r>
      <w:r>
        <w:rPr>
          <w:rFonts w:ascii="仿宋_GB2312" w:hAnsi="Calibri" w:eastAsia="仿宋_GB2312"/>
          <w:b/>
          <w:color w:val="000000"/>
          <w:sz w:val="32"/>
        </w:rPr>
        <w:t>.</w:t>
      </w:r>
      <w:r>
        <w:rPr>
          <w:rFonts w:hint="eastAsia" w:ascii="仿宋_GB2312" w:hAnsi="黑体" w:eastAsia="仿宋_GB2312"/>
          <w:b/>
          <w:sz w:val="32"/>
        </w:rPr>
        <w:t xml:space="preserve"> 公共安全（类）司法（款）法律援助（项）</w:t>
      </w:r>
      <w:r>
        <w:rPr>
          <w:rFonts w:ascii="仿宋_GB2312" w:hAnsi="Calibri" w:eastAsia="仿宋_GB2312"/>
          <w:b/>
          <w:color w:val="000000"/>
          <w:sz w:val="32"/>
        </w:rPr>
        <w:t>:</w:t>
      </w:r>
      <w:r>
        <w:rPr>
          <w:rFonts w:ascii="仿宋_GB2312" w:hAnsi="Calibri" w:eastAsia="仿宋_GB2312"/>
          <w:color w:val="000000"/>
          <w:sz w:val="32"/>
        </w:rPr>
        <w:t xml:space="preserve"> 支出决算为</w:t>
      </w:r>
      <w:r>
        <w:rPr>
          <w:rFonts w:hint="eastAsia" w:ascii="仿宋_GB2312" w:hAnsi="Calibri" w:eastAsia="仿宋_GB2312"/>
          <w:color w:val="000000"/>
          <w:sz w:val="32"/>
          <w:lang w:val="en-US" w:eastAsia="zh-CN"/>
        </w:rPr>
        <w:t>12.68</w:t>
      </w:r>
      <w:r>
        <w:rPr>
          <w:rFonts w:ascii="仿宋_GB2312" w:hAnsi="Calibri" w:eastAsia="仿宋_GB2312"/>
          <w:color w:val="000000"/>
          <w:sz w:val="32"/>
        </w:rPr>
        <w:t>万元，完成预算100%。</w:t>
      </w:r>
    </w:p>
    <w:p w14:paraId="76610761">
      <w:pPr>
        <w:ind w:firstLine="640"/>
        <w:rPr>
          <w:rFonts w:ascii="仿宋_GB2312" w:hAnsi="Calibri" w:eastAsia="仿宋_GB2312"/>
          <w:color w:val="000000"/>
          <w:sz w:val="32"/>
        </w:rPr>
      </w:pPr>
      <w:r>
        <w:rPr>
          <w:rFonts w:hint="eastAsia" w:ascii="仿宋_GB2312" w:hAnsi="Calibri" w:eastAsia="仿宋_GB2312"/>
          <w:b/>
          <w:color w:val="000000"/>
          <w:sz w:val="32"/>
          <w:lang w:val="en-US" w:eastAsia="zh-CN"/>
        </w:rPr>
        <w:t>9</w:t>
      </w:r>
      <w:r>
        <w:rPr>
          <w:rFonts w:ascii="仿宋_GB2312" w:hAnsi="Calibri" w:eastAsia="仿宋_GB2312"/>
          <w:b/>
          <w:color w:val="000000"/>
          <w:sz w:val="32"/>
        </w:rPr>
        <w:t>.</w:t>
      </w:r>
      <w:r>
        <w:rPr>
          <w:rFonts w:hint="eastAsia" w:ascii="仿宋_GB2312" w:hAnsi="黑体" w:eastAsia="仿宋_GB2312"/>
          <w:b/>
          <w:sz w:val="32"/>
        </w:rPr>
        <w:t xml:space="preserve"> 公共安全（类）司法（款）</w:t>
      </w:r>
      <w:r>
        <w:rPr>
          <w:rFonts w:hint="eastAsia" w:ascii="仿宋_GB2312" w:hAnsi="黑体" w:eastAsia="仿宋_GB2312"/>
          <w:b/>
          <w:sz w:val="32"/>
          <w:lang w:eastAsia="zh-CN"/>
        </w:rPr>
        <w:t>仲裁</w:t>
      </w:r>
      <w:r>
        <w:rPr>
          <w:rFonts w:hint="eastAsia" w:ascii="仿宋_GB2312" w:hAnsi="黑体" w:eastAsia="仿宋_GB2312"/>
          <w:b/>
          <w:sz w:val="32"/>
        </w:rPr>
        <w:t>（项）</w:t>
      </w:r>
      <w:r>
        <w:rPr>
          <w:rFonts w:ascii="仿宋_GB2312" w:hAnsi="Calibri" w:eastAsia="仿宋_GB2312"/>
          <w:b/>
          <w:color w:val="000000"/>
          <w:sz w:val="32"/>
        </w:rPr>
        <w:t>:</w:t>
      </w:r>
      <w:r>
        <w:rPr>
          <w:rFonts w:ascii="仿宋_GB2312" w:hAnsi="Calibri" w:eastAsia="仿宋_GB2312"/>
          <w:color w:val="000000"/>
          <w:sz w:val="32"/>
        </w:rPr>
        <w:t>支出决算为</w:t>
      </w:r>
      <w:r>
        <w:rPr>
          <w:rFonts w:hint="eastAsia" w:ascii="仿宋_GB2312" w:hAnsi="Calibri" w:eastAsia="仿宋_GB2312"/>
          <w:color w:val="000000"/>
          <w:sz w:val="32"/>
          <w:lang w:val="en-US" w:eastAsia="zh-CN"/>
        </w:rPr>
        <w:t>42.38</w:t>
      </w:r>
      <w:r>
        <w:rPr>
          <w:rFonts w:ascii="仿宋_GB2312" w:hAnsi="Calibri" w:eastAsia="仿宋_GB2312"/>
          <w:color w:val="000000"/>
          <w:sz w:val="32"/>
        </w:rPr>
        <w:t>万元，完成预算100%。</w:t>
      </w:r>
    </w:p>
    <w:p w14:paraId="59E5DAC3">
      <w:pPr>
        <w:ind w:firstLine="640"/>
        <w:rPr>
          <w:rFonts w:ascii="仿宋_GB2312" w:eastAsia="仿宋_GB2312"/>
          <w:color w:val="000000"/>
          <w:sz w:val="32"/>
        </w:rPr>
      </w:pPr>
      <w:r>
        <w:rPr>
          <w:rFonts w:hint="eastAsia" w:ascii="仿宋_GB2312" w:hAnsi="黑体" w:eastAsia="仿宋_GB2312"/>
          <w:b/>
          <w:sz w:val="32"/>
          <w:lang w:val="en-US" w:eastAsia="zh-CN"/>
        </w:rPr>
        <w:t>10</w:t>
      </w:r>
      <w:r>
        <w:rPr>
          <w:rFonts w:hint="eastAsia" w:ascii="仿宋_GB2312" w:hAnsi="黑体" w:eastAsia="仿宋_GB2312"/>
          <w:b/>
          <w:sz w:val="32"/>
        </w:rPr>
        <w:t>.公共安全（类）司法（款）</w:t>
      </w:r>
      <w:r>
        <w:rPr>
          <w:rFonts w:hint="eastAsia" w:ascii="仿宋_GB2312" w:hAnsi="黑体" w:eastAsia="仿宋_GB2312"/>
          <w:b/>
          <w:sz w:val="32"/>
          <w:lang w:eastAsia="zh-CN"/>
        </w:rPr>
        <w:t>法制建设</w:t>
      </w:r>
      <w:r>
        <w:rPr>
          <w:rFonts w:hint="eastAsia" w:ascii="仿宋_GB2312" w:hAnsi="黑体" w:eastAsia="仿宋_GB2312"/>
          <w:b/>
          <w:sz w:val="32"/>
        </w:rPr>
        <w:t>（项）：</w:t>
      </w:r>
      <w:r>
        <w:rPr>
          <w:rFonts w:hint="eastAsia" w:ascii="仿宋_GB2312" w:hAnsi="黑体" w:eastAsia="仿宋_GB2312"/>
          <w:sz w:val="32"/>
        </w:rPr>
        <w:t>支出</w:t>
      </w:r>
      <w:r>
        <w:rPr>
          <w:rFonts w:hint="eastAsia" w:ascii="仿宋_GB2312" w:eastAsia="仿宋_GB2312"/>
          <w:color w:val="000000"/>
          <w:sz w:val="32"/>
        </w:rPr>
        <w:t>决算数为</w:t>
      </w:r>
      <w:r>
        <w:rPr>
          <w:rFonts w:hint="eastAsia" w:ascii="仿宋_GB2312" w:eastAsia="仿宋_GB2312"/>
          <w:color w:val="000000"/>
          <w:sz w:val="32"/>
          <w:lang w:val="en-US" w:eastAsia="zh-CN"/>
        </w:rPr>
        <w:t>30.68</w:t>
      </w:r>
      <w:r>
        <w:rPr>
          <w:rFonts w:hint="eastAsia" w:ascii="仿宋_GB2312" w:eastAsia="仿宋_GB2312"/>
          <w:color w:val="000000"/>
          <w:sz w:val="32"/>
        </w:rPr>
        <w:t>万元，完成预算100%。</w:t>
      </w:r>
    </w:p>
    <w:p w14:paraId="7510C81E">
      <w:pPr>
        <w:ind w:firstLine="640"/>
        <w:rPr>
          <w:rFonts w:ascii="仿宋_GB2312" w:eastAsia="仿宋_GB2312"/>
          <w:color w:val="000000"/>
          <w:sz w:val="32"/>
        </w:rPr>
      </w:pPr>
      <w:r>
        <w:rPr>
          <w:rFonts w:hint="eastAsia" w:ascii="仿宋_GB2312" w:hAnsi="黑体" w:eastAsia="仿宋_GB2312"/>
          <w:b/>
          <w:sz w:val="32"/>
          <w:lang w:val="en-US" w:eastAsia="zh-CN"/>
        </w:rPr>
        <w:t>11</w:t>
      </w:r>
      <w:r>
        <w:rPr>
          <w:rFonts w:hint="eastAsia" w:ascii="仿宋_GB2312" w:hAnsi="黑体" w:eastAsia="仿宋_GB2312"/>
          <w:b/>
          <w:sz w:val="32"/>
        </w:rPr>
        <w:t>.公共安全（类）司法（款）其他司法支出（项）：</w:t>
      </w:r>
      <w:r>
        <w:rPr>
          <w:rFonts w:hint="eastAsia" w:ascii="仿宋_GB2312" w:hAnsi="黑体" w:eastAsia="仿宋_GB2312"/>
          <w:sz w:val="32"/>
        </w:rPr>
        <w:t>支出</w:t>
      </w:r>
      <w:r>
        <w:rPr>
          <w:rFonts w:hint="eastAsia" w:ascii="仿宋_GB2312" w:eastAsia="仿宋_GB2312"/>
          <w:color w:val="000000"/>
          <w:sz w:val="32"/>
        </w:rPr>
        <w:t>决算数为</w:t>
      </w:r>
      <w:r>
        <w:rPr>
          <w:rFonts w:hint="eastAsia" w:ascii="仿宋_GB2312" w:eastAsia="仿宋_GB2312"/>
          <w:color w:val="000000"/>
          <w:sz w:val="32"/>
          <w:lang w:val="en-US" w:eastAsia="zh-CN"/>
        </w:rPr>
        <w:t>9</w:t>
      </w:r>
      <w:r>
        <w:rPr>
          <w:rFonts w:hint="eastAsia" w:ascii="仿宋_GB2312" w:eastAsia="仿宋_GB2312"/>
          <w:color w:val="000000"/>
          <w:sz w:val="32"/>
        </w:rPr>
        <w:t>万元，完成预算100%。</w:t>
      </w:r>
    </w:p>
    <w:p w14:paraId="3B20F78A">
      <w:pPr>
        <w:ind w:firstLine="640"/>
        <w:rPr>
          <w:rFonts w:ascii="仿宋_GB2312" w:eastAsia="仿宋_GB2312"/>
          <w:color w:val="000000"/>
          <w:sz w:val="32"/>
        </w:rPr>
      </w:pPr>
      <w:r>
        <w:rPr>
          <w:rStyle w:val="16"/>
          <w:rFonts w:hint="eastAsia" w:ascii="仿宋" w:hAnsi="仿宋" w:eastAsia="仿宋"/>
          <w:bCs/>
          <w:color w:val="000000"/>
          <w:sz w:val="32"/>
          <w:szCs w:val="32"/>
          <w:lang w:val="en-US" w:eastAsia="zh-CN"/>
        </w:rPr>
        <w:t>12</w:t>
      </w:r>
      <w:r>
        <w:rPr>
          <w:rStyle w:val="16"/>
          <w:rFonts w:ascii="仿宋" w:hAnsi="仿宋" w:eastAsia="仿宋"/>
          <w:bCs/>
          <w:color w:val="000000"/>
          <w:sz w:val="32"/>
          <w:szCs w:val="32"/>
        </w:rPr>
        <w:t>.</w:t>
      </w:r>
      <w:r>
        <w:rPr>
          <w:rFonts w:hint="eastAsia" w:ascii="仿宋_GB2312" w:hAnsi="黑体" w:eastAsia="仿宋_GB2312"/>
          <w:b/>
          <w:sz w:val="32"/>
        </w:rPr>
        <w:t>社会保障和就业（类）抚恤（款）死亡抚恤（项）：</w:t>
      </w:r>
      <w:r>
        <w:rPr>
          <w:rFonts w:hint="eastAsia" w:ascii="仿宋_GB2312" w:hAnsi="黑体" w:eastAsia="仿宋_GB2312"/>
          <w:sz w:val="32"/>
        </w:rPr>
        <w:t>支出</w:t>
      </w:r>
      <w:r>
        <w:rPr>
          <w:rFonts w:hint="eastAsia" w:ascii="仿宋_GB2312" w:eastAsia="仿宋_GB2312"/>
          <w:color w:val="000000"/>
          <w:sz w:val="32"/>
        </w:rPr>
        <w:t>决算数为</w:t>
      </w:r>
      <w:r>
        <w:rPr>
          <w:rFonts w:hint="eastAsia" w:ascii="仿宋_GB2312" w:eastAsia="仿宋_GB2312"/>
          <w:color w:val="000000"/>
          <w:sz w:val="32"/>
          <w:lang w:val="en-US" w:eastAsia="zh-CN"/>
        </w:rPr>
        <w:t>26.50</w:t>
      </w:r>
      <w:r>
        <w:rPr>
          <w:rFonts w:hint="eastAsia" w:ascii="仿宋_GB2312" w:eastAsia="仿宋_GB2312"/>
          <w:color w:val="000000"/>
          <w:sz w:val="32"/>
        </w:rPr>
        <w:t>万元，完成预算100%。</w:t>
      </w:r>
    </w:p>
    <w:p w14:paraId="129E35CA">
      <w:pPr>
        <w:ind w:firstLine="640"/>
        <w:rPr>
          <w:rFonts w:ascii="仿宋_GB2312" w:eastAsia="仿宋_GB2312"/>
          <w:color w:val="000000"/>
          <w:sz w:val="32"/>
        </w:rPr>
      </w:pPr>
      <w:r>
        <w:rPr>
          <w:rFonts w:hint="eastAsia" w:ascii="仿宋_GB2312" w:hAnsi="黑体" w:eastAsia="仿宋_GB2312"/>
          <w:b/>
          <w:sz w:val="32"/>
        </w:rPr>
        <w:t>1</w:t>
      </w:r>
      <w:r>
        <w:rPr>
          <w:rFonts w:hint="eastAsia" w:ascii="仿宋_GB2312" w:hAnsi="黑体" w:eastAsia="仿宋_GB2312"/>
          <w:b/>
          <w:sz w:val="32"/>
          <w:lang w:val="en-US" w:eastAsia="zh-CN"/>
        </w:rPr>
        <w:t>3</w:t>
      </w:r>
      <w:r>
        <w:rPr>
          <w:rFonts w:hint="eastAsia" w:ascii="仿宋_GB2312" w:hAnsi="黑体" w:eastAsia="仿宋_GB2312"/>
          <w:b/>
          <w:sz w:val="32"/>
        </w:rPr>
        <w:t>. 社会保障和就业（类）行政事业单位离退休（款）未归口管理的行政单位离退休（项）：</w:t>
      </w:r>
      <w:r>
        <w:rPr>
          <w:rFonts w:hint="eastAsia" w:ascii="仿宋_GB2312" w:hAnsi="黑体" w:eastAsia="仿宋_GB2312"/>
          <w:sz w:val="32"/>
        </w:rPr>
        <w:t>支出</w:t>
      </w:r>
      <w:r>
        <w:rPr>
          <w:rFonts w:hint="eastAsia" w:ascii="仿宋_GB2312" w:eastAsia="仿宋_GB2312"/>
          <w:color w:val="000000"/>
          <w:sz w:val="32"/>
        </w:rPr>
        <w:t>决算数为</w:t>
      </w:r>
      <w:r>
        <w:rPr>
          <w:rFonts w:hint="eastAsia" w:ascii="仿宋_GB2312" w:eastAsia="仿宋_GB2312"/>
          <w:color w:val="000000"/>
          <w:sz w:val="32"/>
          <w:lang w:val="en-US" w:eastAsia="zh-CN"/>
        </w:rPr>
        <w:t>15.37</w:t>
      </w:r>
      <w:r>
        <w:rPr>
          <w:rFonts w:hint="eastAsia" w:ascii="仿宋_GB2312" w:eastAsia="仿宋_GB2312"/>
          <w:color w:val="000000"/>
          <w:sz w:val="32"/>
        </w:rPr>
        <w:t>万元，完成预算100%。</w:t>
      </w:r>
    </w:p>
    <w:p w14:paraId="5874FD6A">
      <w:pPr>
        <w:numPr>
          <w:ilvl w:val="0"/>
          <w:numId w:val="0"/>
        </w:numPr>
        <w:spacing w:line="600" w:lineRule="exact"/>
        <w:ind w:firstLine="643" w:firstLineChars="200"/>
        <w:rPr>
          <w:rFonts w:ascii="仿宋_GB2312" w:eastAsia="仿宋_GB2312"/>
          <w:color w:val="000000"/>
          <w:sz w:val="32"/>
        </w:rPr>
      </w:pPr>
      <w:r>
        <w:rPr>
          <w:rFonts w:hint="eastAsia" w:ascii="仿宋_GB2312" w:hAnsi="黑体" w:eastAsia="仿宋_GB2312"/>
          <w:b/>
          <w:sz w:val="32"/>
        </w:rPr>
        <w:t>1</w:t>
      </w:r>
      <w:r>
        <w:rPr>
          <w:rFonts w:hint="eastAsia" w:ascii="仿宋_GB2312" w:hAnsi="黑体" w:eastAsia="仿宋_GB2312"/>
          <w:b/>
          <w:sz w:val="32"/>
          <w:lang w:val="en-US" w:eastAsia="zh-CN"/>
        </w:rPr>
        <w:t>4</w:t>
      </w:r>
      <w:r>
        <w:rPr>
          <w:rFonts w:hint="eastAsia" w:ascii="仿宋_GB2312" w:hAnsi="黑体" w:eastAsia="仿宋_GB2312"/>
          <w:b/>
          <w:sz w:val="32"/>
        </w:rPr>
        <w:t>. 社会保障和就业（类）行政事业单位离退休（款）机关事业单位基本养老保险缴费支出（项）：</w:t>
      </w:r>
      <w:r>
        <w:rPr>
          <w:rFonts w:hint="eastAsia" w:ascii="仿宋_GB2312" w:hAnsi="黑体" w:eastAsia="仿宋_GB2312"/>
          <w:sz w:val="32"/>
        </w:rPr>
        <w:t>支出</w:t>
      </w:r>
      <w:r>
        <w:rPr>
          <w:rFonts w:hint="eastAsia" w:ascii="仿宋_GB2312" w:eastAsia="仿宋_GB2312"/>
          <w:color w:val="000000"/>
          <w:sz w:val="32"/>
        </w:rPr>
        <w:t>决算数为</w:t>
      </w:r>
      <w:r>
        <w:rPr>
          <w:rFonts w:hint="eastAsia" w:ascii="仿宋_GB2312" w:eastAsia="仿宋_GB2312"/>
          <w:color w:val="000000"/>
          <w:sz w:val="32"/>
          <w:lang w:val="en-US" w:eastAsia="zh-CN"/>
        </w:rPr>
        <w:t>66.22</w:t>
      </w:r>
      <w:r>
        <w:rPr>
          <w:rFonts w:hint="eastAsia" w:ascii="仿宋_GB2312" w:eastAsia="仿宋_GB2312"/>
          <w:color w:val="000000"/>
          <w:sz w:val="32"/>
        </w:rPr>
        <w:t>万元，完成预算</w:t>
      </w:r>
      <w:r>
        <w:rPr>
          <w:rFonts w:hint="eastAsia" w:ascii="仿宋_GB2312" w:eastAsia="仿宋_GB2312"/>
          <w:color w:val="000000"/>
          <w:sz w:val="32"/>
          <w:lang w:val="en-US" w:eastAsia="zh-CN"/>
        </w:rPr>
        <w:t>59.80</w:t>
      </w:r>
      <w:r>
        <w:rPr>
          <w:rFonts w:hint="eastAsia" w:ascii="仿宋_GB2312" w:eastAsia="仿宋_GB2312"/>
          <w:color w:val="000000"/>
          <w:sz w:val="32"/>
        </w:rPr>
        <w:t>%</w:t>
      </w:r>
      <w:r>
        <w:rPr>
          <w:rFonts w:hint="eastAsia" w:ascii="仿宋_GB2312" w:eastAsia="仿宋_GB2312"/>
          <w:color w:val="000000"/>
          <w:sz w:val="32"/>
          <w:lang w:eastAsia="zh-CN"/>
        </w:rPr>
        <w:t>，</w:t>
      </w:r>
      <w:r>
        <w:rPr>
          <w:rStyle w:val="16"/>
          <w:rFonts w:hint="eastAsia" w:ascii="仿宋" w:hAnsi="仿宋" w:eastAsia="仿宋"/>
          <w:b w:val="0"/>
          <w:bCs/>
          <w:color w:val="000000"/>
          <w:sz w:val="32"/>
          <w:szCs w:val="32"/>
        </w:rPr>
        <w:t>决算数小于预算数的主要原因是</w:t>
      </w:r>
      <w:r>
        <w:rPr>
          <w:rFonts w:hint="eastAsia" w:ascii="仿宋_GB2312" w:hAnsi="仿宋" w:eastAsia="仿宋_GB2312"/>
          <w:sz w:val="32"/>
          <w:szCs w:val="32"/>
          <w:lang w:eastAsia="zh-CN"/>
        </w:rPr>
        <w:t>机构改革，</w:t>
      </w:r>
      <w:r>
        <w:rPr>
          <w:rFonts w:hint="eastAsia" w:ascii="仿宋_GB2312" w:eastAsia="仿宋_GB2312"/>
          <w:color w:val="000000"/>
          <w:sz w:val="32"/>
          <w:szCs w:val="32"/>
          <w:lang w:eastAsia="zh-CN"/>
        </w:rPr>
        <w:t>市法制办合并到市司法局，原法制办人员</w:t>
      </w:r>
      <w:r>
        <w:rPr>
          <w:rFonts w:hint="eastAsia" w:ascii="仿宋_GB2312" w:hAnsi="宋体" w:eastAsia="仿宋_GB2312"/>
          <w:sz w:val="32"/>
          <w:szCs w:val="32"/>
          <w:lang w:eastAsia="zh-CN"/>
        </w:rPr>
        <w:t>经费合并到市司法局的经费中，故预算经费增加</w:t>
      </w:r>
      <w:r>
        <w:rPr>
          <w:rStyle w:val="16"/>
          <w:rFonts w:hint="eastAsia" w:ascii="仿宋" w:hAnsi="仿宋" w:eastAsia="仿宋"/>
          <w:b w:val="0"/>
          <w:bCs/>
          <w:color w:val="000000"/>
          <w:sz w:val="32"/>
          <w:szCs w:val="32"/>
        </w:rPr>
        <w:t>。</w:t>
      </w:r>
    </w:p>
    <w:p w14:paraId="69EF2546">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15</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行政单位医疗</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53.63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2350DFE">
      <w:pPr>
        <w:spacing w:line="600" w:lineRule="exact"/>
        <w:ind w:firstLine="643" w:firstLineChars="200"/>
        <w:rPr>
          <w:rStyle w:val="16"/>
          <w:rFonts w:hint="eastAsia" w:ascii="仿宋" w:hAnsi="仿宋" w:eastAsia="仿宋"/>
          <w:b w:val="0"/>
          <w:bCs/>
          <w:color w:val="000000"/>
          <w:sz w:val="32"/>
          <w:szCs w:val="32"/>
          <w:lang w:eastAsia="zh-CN"/>
        </w:rPr>
      </w:pPr>
      <w:r>
        <w:rPr>
          <w:rStyle w:val="16"/>
          <w:rFonts w:hint="eastAsia" w:ascii="仿宋" w:hAnsi="仿宋" w:eastAsia="仿宋"/>
          <w:bCs/>
          <w:color w:val="000000"/>
          <w:sz w:val="32"/>
          <w:szCs w:val="32"/>
          <w:lang w:val="en-US" w:eastAsia="zh-CN"/>
        </w:rPr>
        <w:t>16</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事业单位医疗</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14:paraId="2D6FF4F2">
      <w:pPr>
        <w:spacing w:line="600" w:lineRule="exact"/>
        <w:ind w:firstLine="643" w:firstLineChars="200"/>
        <w:rPr>
          <w:rStyle w:val="16"/>
          <w:rFonts w:hint="eastAsia" w:ascii="仿宋" w:hAnsi="仿宋" w:eastAsia="仿宋"/>
          <w:b w:val="0"/>
          <w:bCs/>
          <w:color w:val="000000"/>
          <w:sz w:val="32"/>
          <w:szCs w:val="32"/>
          <w:lang w:eastAsia="zh-CN"/>
        </w:rPr>
      </w:pPr>
      <w:r>
        <w:rPr>
          <w:rStyle w:val="16"/>
          <w:rFonts w:hint="eastAsia" w:ascii="仿宋" w:hAnsi="仿宋" w:eastAsia="仿宋"/>
          <w:bCs/>
          <w:color w:val="000000"/>
          <w:sz w:val="32"/>
          <w:szCs w:val="32"/>
          <w:lang w:val="en-US" w:eastAsia="zh-CN"/>
        </w:rPr>
        <w:t>17</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事业单位医疗</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14:paraId="66FE81C5">
      <w:pPr>
        <w:ind w:firstLine="643" w:firstLineChars="200"/>
        <w:rPr>
          <w:rFonts w:ascii="仿宋" w:hAnsi="仿宋" w:eastAsia="仿宋"/>
          <w:b/>
          <w:color w:val="000000"/>
          <w:sz w:val="32"/>
          <w:szCs w:val="32"/>
        </w:rPr>
      </w:pPr>
      <w:r>
        <w:rPr>
          <w:rFonts w:hint="eastAsia" w:ascii="仿宋_GB2312" w:hAnsi="黑体" w:eastAsia="仿宋_GB2312"/>
          <w:b/>
          <w:sz w:val="32"/>
        </w:rPr>
        <w:t>1</w:t>
      </w:r>
      <w:r>
        <w:rPr>
          <w:rFonts w:hint="eastAsia" w:ascii="仿宋_GB2312" w:hAnsi="黑体" w:eastAsia="仿宋_GB2312"/>
          <w:b/>
          <w:sz w:val="32"/>
          <w:lang w:val="en-US" w:eastAsia="zh-CN"/>
        </w:rPr>
        <w:t>8</w:t>
      </w:r>
      <w:r>
        <w:rPr>
          <w:rFonts w:hint="eastAsia" w:ascii="仿宋_GB2312" w:hAnsi="黑体" w:eastAsia="仿宋_GB2312"/>
          <w:b/>
          <w:sz w:val="32"/>
        </w:rPr>
        <w:t>. 住房保障（类）住房</w:t>
      </w:r>
      <w:r>
        <w:rPr>
          <w:rFonts w:hint="eastAsia" w:ascii="仿宋_GB2312" w:hAnsi="黑体" w:eastAsia="仿宋_GB2312"/>
          <w:b/>
          <w:sz w:val="32"/>
          <w:lang w:eastAsia="zh-CN"/>
        </w:rPr>
        <w:t>保障</w:t>
      </w:r>
      <w:r>
        <w:rPr>
          <w:rFonts w:hint="eastAsia" w:ascii="仿宋_GB2312" w:hAnsi="黑体" w:eastAsia="仿宋_GB2312"/>
          <w:b/>
          <w:sz w:val="32"/>
        </w:rPr>
        <w:t>（款）住房公积金（项）：</w:t>
      </w:r>
      <w:r>
        <w:rPr>
          <w:rFonts w:hint="eastAsia" w:ascii="仿宋_GB2312" w:hAnsi="黑体" w:eastAsia="仿宋_GB2312"/>
          <w:sz w:val="32"/>
        </w:rPr>
        <w:t>支出</w:t>
      </w:r>
      <w:r>
        <w:rPr>
          <w:rFonts w:hint="eastAsia" w:ascii="仿宋_GB2312" w:eastAsia="仿宋_GB2312"/>
          <w:color w:val="000000"/>
          <w:sz w:val="32"/>
        </w:rPr>
        <w:t>决算数为</w:t>
      </w:r>
      <w:r>
        <w:rPr>
          <w:rFonts w:hint="eastAsia" w:ascii="仿宋_GB2312" w:eastAsia="仿宋_GB2312"/>
          <w:color w:val="000000"/>
          <w:sz w:val="32"/>
          <w:lang w:val="en-US" w:eastAsia="zh-CN"/>
        </w:rPr>
        <w:t>109.62</w:t>
      </w:r>
      <w:r>
        <w:rPr>
          <w:rFonts w:hint="eastAsia" w:ascii="仿宋_GB2312" w:eastAsia="仿宋_GB2312"/>
          <w:color w:val="000000"/>
          <w:sz w:val="32"/>
        </w:rPr>
        <w:t>万元，完成预算100%。</w:t>
      </w:r>
    </w:p>
    <w:p w14:paraId="6960A961">
      <w:pPr>
        <w:tabs>
          <w:tab w:val="right" w:pos="8306"/>
        </w:tabs>
        <w:spacing w:line="600" w:lineRule="exact"/>
        <w:ind w:firstLine="640"/>
        <w:outlineLvl w:val="1"/>
        <w:rPr>
          <w:rStyle w:val="2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14:paraId="21A99B12">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140.63</w:t>
      </w:r>
      <w:r>
        <w:rPr>
          <w:rFonts w:hint="eastAsia" w:ascii="仿宋" w:hAnsi="仿宋" w:eastAsia="仿宋"/>
          <w:color w:val="000000"/>
          <w:sz w:val="32"/>
          <w:szCs w:val="32"/>
        </w:rPr>
        <w:t>万元，其中：</w:t>
      </w:r>
    </w:p>
    <w:p w14:paraId="1DB6E5E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1172.74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233.57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AC2858C">
      <w:pPr>
        <w:spacing w:line="600" w:lineRule="exact"/>
        <w:ind w:firstLine="640"/>
        <w:outlineLvl w:val="1"/>
        <w:rPr>
          <w:rStyle w:val="2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14:paraId="13544DFD">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6CA20697">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14.55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57.51</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hAnsi="Calibri" w:eastAsia="仿宋_GB2312"/>
          <w:color w:val="000000"/>
          <w:sz w:val="32"/>
        </w:rPr>
        <w:t>公务接待费减少</w:t>
      </w:r>
      <w:r>
        <w:rPr>
          <w:rFonts w:hint="eastAsia" w:ascii="仿宋" w:hAnsi="仿宋" w:eastAsia="仿宋"/>
          <w:color w:val="000000"/>
          <w:sz w:val="32"/>
          <w:szCs w:val="32"/>
        </w:rPr>
        <w:t>。</w:t>
      </w:r>
    </w:p>
    <w:p w14:paraId="6E6C81F1">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468C7929">
      <w:pPr>
        <w:spacing w:line="600" w:lineRule="exact"/>
        <w:ind w:firstLine="64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12.89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87.38</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13.15</w:t>
      </w:r>
      <w:r>
        <w:rPr>
          <w:rFonts w:ascii="仿宋" w:hAnsi="仿宋" w:eastAsia="仿宋"/>
          <w:color w:val="000000"/>
          <w:sz w:val="32"/>
          <w:szCs w:val="32"/>
        </w:rPr>
        <w:t>%</w:t>
      </w:r>
      <w:r>
        <w:rPr>
          <w:rFonts w:hint="eastAsia" w:ascii="仿宋" w:hAnsi="仿宋" w:eastAsia="仿宋"/>
          <w:color w:val="000000"/>
          <w:sz w:val="32"/>
          <w:szCs w:val="32"/>
        </w:rPr>
        <w:t>。具体情况如下：</w:t>
      </w:r>
      <w:r>
        <w:rPr>
          <w:rFonts w:hint="eastAsia" w:ascii="仿宋" w:hAnsi="仿宋" w:eastAsia="仿宋"/>
          <w:color w:val="000000"/>
          <w:sz w:val="32"/>
          <w:szCs w:val="32"/>
          <w:lang w:val="en-US" w:eastAsia="zh-CN"/>
        </w:rPr>
        <w:t xml:space="preserve">               </w:t>
      </w:r>
    </w:p>
    <w:p w14:paraId="261C338D">
      <w:pPr>
        <w:pStyle w:val="2"/>
        <w:ind w:left="0" w:leftChars="0" w:firstLine="0" w:firstLineChars="0"/>
        <w:rPr>
          <w:rFonts w:hint="default"/>
          <w:lang w:val="en-US" w:eastAsia="zh-CN"/>
        </w:rPr>
      </w:pPr>
      <w:r>
        <w:rPr>
          <w:rFonts w:hint="eastAsia" w:ascii="仿宋" w:hAnsi="仿宋" w:eastAsia="仿宋"/>
          <w:color w:val="000000"/>
          <w:sz w:val="32"/>
          <w:szCs w:val="32"/>
        </w:rPr>
        <w:drawing>
          <wp:inline distT="0" distB="0" distL="0" distR="0">
            <wp:extent cx="4848225" cy="2343150"/>
            <wp:effectExtent l="5080" t="4445" r="444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A6039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30216651">
      <w:pPr>
        <w:numPr>
          <w:ilvl w:val="0"/>
          <w:numId w:val="0"/>
        </w:numPr>
        <w:spacing w:line="600" w:lineRule="exact"/>
        <w:ind w:firstLine="643" w:firstLineChars="200"/>
        <w:rPr>
          <w:rFonts w:hint="eastAsia" w:ascii="仿宋_GB2312" w:eastAsia="仿宋_GB2312"/>
          <w:color w:val="000000"/>
          <w:sz w:val="32"/>
          <w:szCs w:val="32"/>
          <w:lang w:val="en-US" w:eastAsia="zh-CN"/>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14:paraId="1F3EF5E8">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12.89</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Fonts w:hint="eastAsia" w:ascii="仿宋" w:hAnsi="仿宋" w:eastAsia="仿宋"/>
          <w:color w:val="000000"/>
          <w:sz w:val="32"/>
          <w:szCs w:val="32"/>
          <w:lang w:val="en-US" w:eastAsia="zh-CN"/>
        </w:rPr>
        <w:t>87.38</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0.14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 w:eastAsia="仿宋_GB2312"/>
          <w:sz w:val="32"/>
          <w:szCs w:val="32"/>
          <w:lang w:eastAsia="zh-CN"/>
        </w:rPr>
        <w:t>机构改革，</w:t>
      </w:r>
      <w:r>
        <w:rPr>
          <w:rFonts w:hint="eastAsia" w:ascii="仿宋_GB2312" w:eastAsia="仿宋_GB2312"/>
          <w:color w:val="000000"/>
          <w:sz w:val="32"/>
          <w:szCs w:val="32"/>
          <w:lang w:eastAsia="zh-CN"/>
        </w:rPr>
        <w:t>市法制办合并到市司法局，原法制办</w:t>
      </w:r>
      <w:r>
        <w:rPr>
          <w:rFonts w:hint="eastAsia" w:ascii="仿宋_GB2312" w:hAnsi="宋体" w:eastAsia="仿宋_GB2312"/>
          <w:sz w:val="32"/>
          <w:szCs w:val="32"/>
          <w:lang w:eastAsia="zh-CN"/>
        </w:rPr>
        <w:t>的公务用车</w:t>
      </w:r>
      <w:r>
        <w:rPr>
          <w:rFonts w:hint="eastAsia" w:ascii="仿宋_GB2312" w:hAnsi="宋体" w:eastAsia="仿宋_GB2312"/>
          <w:sz w:val="32"/>
          <w:szCs w:val="32"/>
        </w:rPr>
        <w:t>经费</w:t>
      </w:r>
      <w:r>
        <w:rPr>
          <w:rFonts w:hint="eastAsia" w:ascii="仿宋_GB2312" w:hAnsi="宋体" w:eastAsia="仿宋_GB2312"/>
          <w:sz w:val="32"/>
          <w:szCs w:val="32"/>
          <w:lang w:eastAsia="zh-CN"/>
        </w:rPr>
        <w:t>在市司法局的经费中开支。</w:t>
      </w:r>
    </w:p>
    <w:p w14:paraId="5DD2E98B">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7501C59E">
      <w:pPr>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12.89</w:t>
      </w:r>
      <w:r>
        <w:rPr>
          <w:rFonts w:hint="eastAsia" w:ascii="仿宋_GB2312" w:eastAsia="仿宋_GB2312"/>
          <w:color w:val="000000"/>
          <w:sz w:val="32"/>
          <w:szCs w:val="32"/>
        </w:rPr>
        <w:t>万元。主要用于</w:t>
      </w:r>
      <w:r>
        <w:rPr>
          <w:rFonts w:ascii="仿宋" w:hAnsi="仿宋" w:eastAsia="仿宋"/>
          <w:sz w:val="32"/>
        </w:rPr>
        <w:t>保障</w:t>
      </w:r>
      <w:r>
        <w:rPr>
          <w:rFonts w:hint="eastAsia" w:ascii="仿宋" w:hAnsi="仿宋" w:eastAsia="仿宋"/>
          <w:sz w:val="32"/>
        </w:rPr>
        <w:t>局机关执行公务活动、开展基层工作调研、普法宣传工作、实施司法监督检查、开展“八项实事”</w:t>
      </w:r>
      <w:r>
        <w:rPr>
          <w:rFonts w:ascii="仿宋" w:hAnsi="仿宋" w:eastAsia="仿宋"/>
          <w:sz w:val="32"/>
        </w:rPr>
        <w:t>等工作</w:t>
      </w:r>
      <w:r>
        <w:rPr>
          <w:rFonts w:hint="eastAsia" w:ascii="仿宋" w:hAnsi="仿宋" w:eastAsia="仿宋"/>
          <w:color w:val="000000"/>
          <w:sz w:val="32"/>
          <w:szCs w:val="32"/>
        </w:rPr>
        <w:t>等所需的公务用车燃料费、维修费、过路过桥费、保险费等支出。</w:t>
      </w:r>
    </w:p>
    <w:p w14:paraId="05DB10F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1.65</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13.15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0.45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27.27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rPr>
        <w:t>认真贯彻落实中央关于厉行节约的要求，加强内部财务管理，严格执行公务接待制度，控制接待标准和次数</w:t>
      </w:r>
      <w:r>
        <w:rPr>
          <w:rFonts w:hint="eastAsia" w:ascii="仿宋" w:hAnsi="仿宋" w:eastAsia="仿宋"/>
          <w:color w:val="000000"/>
          <w:sz w:val="32"/>
          <w:szCs w:val="32"/>
        </w:rPr>
        <w:t>。</w:t>
      </w:r>
    </w:p>
    <w:p w14:paraId="61CB6207">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1.65</w:t>
      </w:r>
      <w:r>
        <w:rPr>
          <w:rFonts w:hint="eastAsia" w:ascii="仿宋_GB2312" w:eastAsia="仿宋_GB2312"/>
          <w:color w:val="000000"/>
          <w:sz w:val="32"/>
          <w:szCs w:val="32"/>
        </w:rPr>
        <w:t>万元，主要用于</w:t>
      </w:r>
      <w:r>
        <w:rPr>
          <w:rFonts w:hint="eastAsia" w:ascii="仿宋" w:hAnsi="仿宋" w:eastAsia="仿宋"/>
          <w:color w:val="000000"/>
          <w:sz w:val="32"/>
          <w:szCs w:val="32"/>
        </w:rPr>
        <w:t>执行公务、开展业务活动开支的交通费、住宿费、用餐费等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185</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1.65</w:t>
      </w:r>
      <w:r>
        <w:rPr>
          <w:rFonts w:hint="eastAsia" w:ascii="仿宋_GB2312" w:eastAsia="仿宋_GB2312"/>
          <w:color w:val="000000"/>
          <w:sz w:val="32"/>
          <w:szCs w:val="32"/>
        </w:rPr>
        <w:t>万元，具体内容包括：</w:t>
      </w:r>
      <w:r>
        <w:rPr>
          <w:rFonts w:hint="eastAsia" w:ascii="仿宋" w:hAnsi="仿宋" w:eastAsia="仿宋"/>
          <w:color w:val="000000"/>
          <w:sz w:val="32"/>
          <w:szCs w:val="32"/>
          <w:lang w:eastAsia="zh-CN"/>
        </w:rPr>
        <w:t>接待理塘县司法局</w:t>
      </w:r>
      <w:r>
        <w:rPr>
          <w:rFonts w:hint="eastAsia" w:ascii="仿宋" w:hAnsi="仿宋" w:eastAsia="仿宋"/>
          <w:color w:val="000000"/>
          <w:sz w:val="32"/>
          <w:szCs w:val="32"/>
          <w:lang w:val="en-US" w:eastAsia="zh-CN"/>
        </w:rPr>
        <w:t>880</w:t>
      </w:r>
      <w:r>
        <w:rPr>
          <w:rFonts w:hint="eastAsia" w:ascii="仿宋" w:hAnsi="仿宋" w:eastAsia="仿宋"/>
          <w:color w:val="000000"/>
          <w:sz w:val="32"/>
          <w:szCs w:val="32"/>
        </w:rPr>
        <w:t>元，</w:t>
      </w:r>
      <w:r>
        <w:rPr>
          <w:rFonts w:hint="eastAsia" w:ascii="仿宋" w:hAnsi="仿宋" w:eastAsia="仿宋"/>
          <w:color w:val="000000"/>
          <w:sz w:val="32"/>
          <w:szCs w:val="32"/>
          <w:lang w:eastAsia="zh-CN"/>
        </w:rPr>
        <w:t>走基层送温暖接待</w:t>
      </w:r>
      <w:r>
        <w:rPr>
          <w:rFonts w:hint="eastAsia" w:ascii="仿宋" w:hAnsi="仿宋" w:eastAsia="仿宋"/>
          <w:color w:val="000000"/>
          <w:sz w:val="32"/>
          <w:szCs w:val="32"/>
        </w:rPr>
        <w:t>费</w:t>
      </w:r>
      <w:r>
        <w:rPr>
          <w:rFonts w:hint="eastAsia" w:ascii="仿宋" w:hAnsi="仿宋" w:eastAsia="仿宋"/>
          <w:color w:val="000000"/>
          <w:sz w:val="32"/>
          <w:szCs w:val="32"/>
          <w:lang w:val="en-US" w:eastAsia="zh-CN"/>
        </w:rPr>
        <w:t>639</w:t>
      </w:r>
      <w:r>
        <w:rPr>
          <w:rFonts w:hint="eastAsia" w:ascii="仿宋" w:hAnsi="仿宋" w:eastAsia="仿宋"/>
          <w:color w:val="000000"/>
          <w:sz w:val="32"/>
          <w:szCs w:val="32"/>
        </w:rPr>
        <w:t>元，</w:t>
      </w:r>
      <w:r>
        <w:rPr>
          <w:rFonts w:hint="eastAsia" w:ascii="仿宋" w:hAnsi="仿宋" w:eastAsia="仿宋"/>
          <w:color w:val="000000"/>
          <w:sz w:val="32"/>
          <w:szCs w:val="32"/>
          <w:lang w:eastAsia="zh-CN"/>
        </w:rPr>
        <w:t>接待省政府外来企业调研</w:t>
      </w:r>
      <w:r>
        <w:rPr>
          <w:rFonts w:hint="eastAsia" w:ascii="仿宋" w:hAnsi="仿宋" w:eastAsia="仿宋"/>
          <w:color w:val="000000"/>
          <w:sz w:val="32"/>
          <w:szCs w:val="32"/>
          <w:lang w:val="en-US" w:eastAsia="zh-CN"/>
        </w:rPr>
        <w:t>639</w:t>
      </w:r>
      <w:r>
        <w:rPr>
          <w:rFonts w:hint="eastAsia" w:ascii="仿宋" w:hAnsi="仿宋" w:eastAsia="仿宋"/>
          <w:color w:val="000000"/>
          <w:sz w:val="32"/>
          <w:szCs w:val="32"/>
        </w:rPr>
        <w:t>元，</w:t>
      </w:r>
      <w:r>
        <w:rPr>
          <w:rFonts w:hint="eastAsia" w:ascii="仿宋" w:hAnsi="仿宋" w:eastAsia="仿宋"/>
          <w:color w:val="000000"/>
          <w:sz w:val="32"/>
          <w:szCs w:val="32"/>
          <w:lang w:eastAsia="zh-CN"/>
        </w:rPr>
        <w:t>接待省级规范化司法所验收交叉检查</w:t>
      </w:r>
      <w:r>
        <w:rPr>
          <w:rFonts w:hint="eastAsia" w:ascii="仿宋" w:hAnsi="仿宋" w:eastAsia="仿宋"/>
          <w:color w:val="000000"/>
          <w:sz w:val="32"/>
          <w:szCs w:val="32"/>
          <w:lang w:val="en-US" w:eastAsia="zh-CN"/>
        </w:rPr>
        <w:t>2153</w:t>
      </w:r>
      <w:r>
        <w:rPr>
          <w:rFonts w:hint="eastAsia" w:ascii="仿宋" w:hAnsi="仿宋" w:eastAsia="仿宋"/>
          <w:color w:val="000000"/>
          <w:sz w:val="32"/>
          <w:szCs w:val="32"/>
        </w:rPr>
        <w:t>元，</w:t>
      </w:r>
      <w:r>
        <w:rPr>
          <w:rFonts w:hint="eastAsia" w:ascii="仿宋" w:hAnsi="仿宋" w:eastAsia="仿宋"/>
          <w:color w:val="000000"/>
          <w:sz w:val="32"/>
          <w:szCs w:val="32"/>
          <w:lang w:eastAsia="zh-CN"/>
        </w:rPr>
        <w:t>接待双流司法局</w:t>
      </w:r>
      <w:r>
        <w:rPr>
          <w:rFonts w:hint="eastAsia" w:ascii="仿宋" w:hAnsi="仿宋" w:eastAsia="仿宋"/>
          <w:color w:val="000000"/>
          <w:sz w:val="32"/>
          <w:szCs w:val="32"/>
          <w:lang w:val="en-US" w:eastAsia="zh-CN"/>
        </w:rPr>
        <w:t>107专案组622元，接待省司法厅调研执法监督条例立法900元，接待司法警官职业学院到遂宁调研座谈会1950元，接待全国律师律协赴遂宁授课830元，接待司法考试督导357元，接待凉州市司法局到遂宁2714元，接待资阳市司法所赴遂宁考察学习830元等</w:t>
      </w:r>
      <w:r>
        <w:rPr>
          <w:rFonts w:hint="eastAsia" w:ascii="仿宋_GB2312" w:eastAsia="仿宋_GB2312"/>
          <w:color w:val="000000"/>
          <w:sz w:val="32"/>
          <w:szCs w:val="32"/>
        </w:rPr>
        <w:t>。</w:t>
      </w:r>
    </w:p>
    <w:p w14:paraId="49813F6F">
      <w:pPr>
        <w:spacing w:line="600" w:lineRule="exact"/>
        <w:ind w:firstLine="640"/>
        <w:outlineLvl w:val="1"/>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bookmarkStart w:id="46" w:name="_Toc15396610"/>
      <w:bookmarkStart w:id="47" w:name="_Toc15377218"/>
      <w:r>
        <w:rPr>
          <w:rFonts w:hint="eastAsia" w:ascii="仿宋_GB2312" w:eastAsia="仿宋_GB2312"/>
          <w:color w:val="000000" w:themeColor="text1"/>
          <w:sz w:val="32"/>
          <w:szCs w:val="32"/>
          <w:lang w:eastAsia="zh-CN"/>
        </w:rPr>
        <w:t>。</w:t>
      </w:r>
    </w:p>
    <w:p w14:paraId="5956C873">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14:paraId="4B4383B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CF9A118">
      <w:pPr>
        <w:numPr>
          <w:ilvl w:val="0"/>
          <w:numId w:val="2"/>
        </w:numPr>
        <w:spacing w:line="600" w:lineRule="exact"/>
        <w:ind w:firstLine="640"/>
        <w:outlineLvl w:val="1"/>
        <w:rPr>
          <w:rStyle w:val="27"/>
          <w:rFonts w:ascii="黑体" w:hAnsi="黑体" w:eastAsia="黑体"/>
          <w:b w:val="0"/>
        </w:rPr>
      </w:pPr>
      <w:bookmarkStart w:id="48" w:name="_Toc15377219"/>
      <w:bookmarkStart w:id="49" w:name="_Toc15396611"/>
      <w:r>
        <w:rPr>
          <w:rStyle w:val="27"/>
          <w:rFonts w:hint="eastAsia" w:ascii="黑体" w:hAnsi="黑体" w:eastAsia="黑体"/>
          <w:b w:val="0"/>
        </w:rPr>
        <w:t>国有资本经营预算支出决算情况说明</w:t>
      </w:r>
      <w:bookmarkEnd w:id="48"/>
      <w:bookmarkEnd w:id="49"/>
    </w:p>
    <w:p w14:paraId="69AC44C5">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202BC56">
      <w:pPr>
        <w:spacing w:line="600" w:lineRule="exact"/>
        <w:ind w:firstLine="800" w:firstLineChars="250"/>
        <w:outlineLvl w:val="1"/>
        <w:rPr>
          <w:rStyle w:val="2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14:paraId="5AFA6009">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68AE498F">
      <w:pPr>
        <w:snapToGrid w:val="0"/>
        <w:spacing w:line="520" w:lineRule="exact"/>
        <w:ind w:firstLine="640" w:firstLineChars="200"/>
        <w:rPr>
          <w:rFonts w:hint="eastAsia" w:ascii="仿宋_GB2312" w:hAnsi="宋体" w:eastAsia="仿宋_GB2312"/>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市司法局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233.57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94.53</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4.47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hAnsi="仿宋" w:eastAsia="仿宋_GB2312"/>
          <w:sz w:val="32"/>
          <w:szCs w:val="32"/>
          <w:lang w:eastAsia="zh-CN"/>
        </w:rPr>
        <w:t>机构改革，市仲裁办、</w:t>
      </w:r>
      <w:r>
        <w:rPr>
          <w:rFonts w:hint="eastAsia" w:ascii="仿宋_GB2312" w:eastAsia="仿宋_GB2312"/>
          <w:color w:val="000000"/>
          <w:sz w:val="32"/>
          <w:szCs w:val="32"/>
          <w:lang w:eastAsia="zh-CN"/>
        </w:rPr>
        <w:t>市法制办合并到市司法局，人员和</w:t>
      </w:r>
      <w:r>
        <w:rPr>
          <w:rFonts w:hint="eastAsia" w:ascii="仿宋_GB2312" w:eastAsia="仿宋_GB2312"/>
          <w:color w:val="000000"/>
          <w:sz w:val="32"/>
          <w:szCs w:val="32"/>
        </w:rPr>
        <w:t>工作职能增加，</w:t>
      </w:r>
      <w:r>
        <w:rPr>
          <w:rFonts w:hint="eastAsia" w:ascii="仿宋_GB2312" w:hAnsi="宋体" w:eastAsia="仿宋_GB2312"/>
          <w:sz w:val="32"/>
          <w:szCs w:val="32"/>
          <w:lang w:eastAsia="zh-CN"/>
        </w:rPr>
        <w:t>人员经费和工作</w:t>
      </w:r>
      <w:r>
        <w:rPr>
          <w:rFonts w:hint="eastAsia" w:ascii="仿宋_GB2312" w:hAnsi="宋体" w:eastAsia="仿宋_GB2312"/>
          <w:sz w:val="32"/>
          <w:szCs w:val="32"/>
        </w:rPr>
        <w:t>经费增加</w:t>
      </w:r>
      <w:r>
        <w:rPr>
          <w:rFonts w:hint="eastAsia" w:ascii="仿宋_GB2312" w:hAnsi="宋体" w:eastAsia="仿宋_GB2312"/>
          <w:sz w:val="32"/>
          <w:szCs w:val="32"/>
          <w:lang w:eastAsia="zh-CN"/>
        </w:rPr>
        <w:t>。</w:t>
      </w:r>
    </w:p>
    <w:p w14:paraId="5465575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010C57ED">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市司法局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8445</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49.45</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万元。主要用于</w:t>
      </w:r>
      <w:r>
        <w:rPr>
          <w:rFonts w:hint="eastAsia" w:ascii="仿宋" w:hAnsi="仿宋" w:eastAsia="仿宋"/>
          <w:color w:val="000000"/>
          <w:sz w:val="32"/>
          <w:szCs w:val="32"/>
        </w:rPr>
        <w:t>日常办公桌椅、办公电脑等采购</w:t>
      </w:r>
      <w:r>
        <w:rPr>
          <w:rFonts w:hint="eastAsia" w:ascii="仿宋_GB2312" w:eastAsia="仿宋_GB2312"/>
          <w:color w:val="000000"/>
          <w:sz w:val="32"/>
          <w:szCs w:val="32"/>
        </w:rPr>
        <w:t>。</w:t>
      </w:r>
    </w:p>
    <w:p w14:paraId="060208D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4BD99A59">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 w:hAnsi="仿宋" w:eastAsia="仿宋"/>
          <w:color w:val="000000"/>
          <w:sz w:val="32"/>
          <w:szCs w:val="32"/>
        </w:rPr>
        <w:t>市司法局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 w:hAnsi="仿宋" w:eastAsia="仿宋"/>
          <w:color w:val="000000"/>
          <w:sz w:val="32"/>
          <w:szCs w:val="32"/>
        </w:rPr>
        <w:t>一般执法执勤用车3辆</w:t>
      </w:r>
      <w:r>
        <w:rPr>
          <w:rFonts w:hint="eastAsia" w:ascii="仿宋" w:hAnsi="仿宋" w:eastAsia="仿宋"/>
          <w:color w:val="000000"/>
          <w:sz w:val="32"/>
          <w:szCs w:val="32"/>
          <w:lang w:eastAsia="zh-CN"/>
        </w:rPr>
        <w:t>、</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20E88ED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9D5D99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宋体" w:hAnsi="宋体" w:cs="宋体"/>
          <w:color w:val="000000"/>
          <w:sz w:val="24"/>
          <w:lang w:eastAsia="zh-CN"/>
        </w:rPr>
        <w:t>《以案说法》电视节目制作</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5EAB2B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 w:hAnsi="仿宋" w:eastAsia="仿宋"/>
          <w:sz w:val="32"/>
          <w:szCs w:val="32"/>
        </w:rPr>
        <w:t>从项目完成、项目效益、满意度等方面设置了绩效指标，综合反映项目预期完成的数量、成本、时效、质量，均预期达到了良好的社会效益、可持续影响，服务对象满意度高</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 w:hAnsi="仿宋" w:eastAsia="仿宋"/>
          <w:sz w:val="32"/>
          <w:szCs w:val="32"/>
        </w:rPr>
        <w:t>栏目紧紧围绕市委中心工作，服务于经济社会发展，不断推动法治宣传教育工作创新发展，为推进依法治市、建设法治遂宁、营造良好法治环境做出了积极的贡献</w:t>
      </w:r>
      <w:r>
        <w:rPr>
          <w:rFonts w:hint="eastAsia" w:ascii="仿宋_GB2312" w:hAnsi="仿宋_GB2312" w:eastAsia="仿宋_GB2312" w:cs="仿宋_GB2312"/>
          <w:sz w:val="32"/>
          <w:szCs w:val="32"/>
        </w:rPr>
        <w:t>。</w:t>
      </w:r>
    </w:p>
    <w:p w14:paraId="7A62EA25">
      <w:pPr>
        <w:numPr>
          <w:ilvl w:val="0"/>
          <w:numId w:val="3"/>
        </w:numPr>
        <w:spacing w:line="58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本部门在2019年度部门决算中反映“</w:t>
      </w:r>
      <w:r>
        <w:rPr>
          <w:rFonts w:hint="eastAsia" w:ascii="仿宋" w:hAnsi="仿宋" w:eastAsia="仿宋" w:cs="仿宋"/>
          <w:color w:val="000000"/>
          <w:sz w:val="32"/>
          <w:szCs w:val="32"/>
          <w:lang w:eastAsia="zh-CN"/>
        </w:rPr>
        <w:t>《以案说法》电视节目制作费</w:t>
      </w:r>
      <w:r>
        <w:rPr>
          <w:rFonts w:hint="eastAsia" w:ascii="仿宋" w:hAnsi="仿宋" w:eastAsia="仿宋" w:cs="仿宋"/>
          <w:sz w:val="32"/>
          <w:szCs w:val="32"/>
        </w:rPr>
        <w:t>”</w:t>
      </w:r>
      <w:r>
        <w:rPr>
          <w:rFonts w:hint="eastAsia" w:ascii="仿宋" w:hAnsi="仿宋" w:eastAsia="仿宋" w:cs="仿宋"/>
          <w:sz w:val="32"/>
          <w:szCs w:val="32"/>
          <w:lang w:eastAsia="zh-CN"/>
        </w:rPr>
        <w:t>“一网两微”</w:t>
      </w:r>
      <w:r>
        <w:rPr>
          <w:rFonts w:hint="eastAsia" w:ascii="仿宋" w:hAnsi="仿宋" w:eastAsia="仿宋" w:cs="仿宋"/>
          <w:sz w:val="32"/>
          <w:szCs w:val="32"/>
        </w:rPr>
        <w:t>“</w:t>
      </w:r>
      <w:r>
        <w:rPr>
          <w:rFonts w:hint="eastAsia" w:ascii="仿宋" w:hAnsi="仿宋" w:eastAsia="仿宋" w:cs="仿宋"/>
          <w:sz w:val="32"/>
          <w:szCs w:val="32"/>
          <w:lang w:eastAsia="zh-CN"/>
        </w:rPr>
        <w:t>派驻纪检组专项资金</w:t>
      </w:r>
      <w:r>
        <w:rPr>
          <w:rFonts w:hint="eastAsia" w:ascii="仿宋" w:hAnsi="仿宋" w:eastAsia="仿宋" w:cs="仿宋"/>
          <w:sz w:val="32"/>
          <w:szCs w:val="32"/>
        </w:rPr>
        <w:t>”等</w:t>
      </w:r>
      <w:r>
        <w:rPr>
          <w:rFonts w:hint="eastAsia" w:ascii="仿宋" w:hAnsi="仿宋" w:eastAsia="仿宋" w:cs="仿宋"/>
          <w:sz w:val="32"/>
          <w:szCs w:val="32"/>
          <w:lang w:val="en-US" w:eastAsia="zh-CN"/>
        </w:rPr>
        <w:t>13</w:t>
      </w:r>
      <w:r>
        <w:rPr>
          <w:rFonts w:hint="eastAsia" w:ascii="仿宋" w:hAnsi="仿宋" w:eastAsia="仿宋" w:cs="仿宋"/>
          <w:sz w:val="32"/>
          <w:szCs w:val="32"/>
        </w:rPr>
        <w:t>个项目绩效目标实际完成情况。</w:t>
      </w:r>
    </w:p>
    <w:p w14:paraId="035BA47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color w:val="000000"/>
          <w:sz w:val="32"/>
          <w:szCs w:val="32"/>
          <w:lang w:eastAsia="zh-CN"/>
        </w:rPr>
        <w:t>《以案说法》电视节目制作费</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35</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35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%。通过项目实施，服务于经济社会发展，不断推动法治宣传教育工作创新发展，为推进依法治市、建设法治遂宁、营造良好法治环境做出了积极的贡献。</w:t>
      </w:r>
    </w:p>
    <w:p w14:paraId="37182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）“一网两微”</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19</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19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仿宋" w:hAnsi="仿宋" w:eastAsia="仿宋" w:cs="仿宋"/>
          <w:color w:val="000000"/>
          <w:sz w:val="32"/>
          <w:szCs w:val="32"/>
          <w:shd w:val="clear" w:color="auto" w:fill="FFFFFF"/>
        </w:rPr>
        <w:t>力争将其打造成我市普及法律知识、传播法治文化、展示法治成就、鼓舞法治士气的知名品牌和群众身边触手可及的“法律顾问”</w:t>
      </w:r>
      <w:r>
        <w:rPr>
          <w:rFonts w:hint="eastAsia" w:ascii="仿宋" w:hAnsi="仿宋" w:eastAsia="仿宋" w:cs="仿宋"/>
          <w:color w:val="000000"/>
          <w:sz w:val="32"/>
          <w:szCs w:val="32"/>
          <w:shd w:val="clear" w:color="auto" w:fill="FFFFFF"/>
          <w:lang w:eastAsia="zh-CN"/>
        </w:rPr>
        <w:t>。</w:t>
      </w:r>
    </w:p>
    <w:p w14:paraId="6662D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派驻纪检组专项资金</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30</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color w:val="000000"/>
          <w:sz w:val="32"/>
          <w:szCs w:val="32"/>
        </w:rPr>
        <w:t>派驻纪检组办案经费指对</w:t>
      </w:r>
      <w:r>
        <w:rPr>
          <w:rFonts w:hint="eastAsia" w:ascii="仿宋" w:hAnsi="仿宋" w:eastAsia="仿宋" w:cs="仿宋"/>
          <w:sz w:val="32"/>
          <w:szCs w:val="32"/>
        </w:rPr>
        <w:t>本单位自身案件办理过程中发生的费用。截</w:t>
      </w:r>
      <w:r>
        <w:rPr>
          <w:rFonts w:hint="eastAsia" w:ascii="仿宋" w:hAnsi="仿宋" w:eastAsia="仿宋" w:cs="仿宋"/>
          <w:sz w:val="32"/>
          <w:szCs w:val="32"/>
          <w:lang w:eastAsia="zh-CN"/>
        </w:rPr>
        <w:t>至</w:t>
      </w:r>
      <w:bookmarkStart w:id="73" w:name="_GoBack"/>
      <w:bookmarkEnd w:id="73"/>
      <w:r>
        <w:rPr>
          <w:rFonts w:hint="eastAsia" w:ascii="仿宋" w:hAnsi="仿宋" w:eastAsia="仿宋" w:cs="仿宋"/>
          <w:sz w:val="32"/>
          <w:szCs w:val="32"/>
        </w:rPr>
        <w:t>目前，我局无自身案件，项目经费零支出。建议由市纪检部门评估案件发生率，不再单列此项目。</w:t>
      </w:r>
    </w:p>
    <w:p w14:paraId="3615EED3">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法律援助办案劳务费</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5</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kern w:val="0"/>
          <w:sz w:val="32"/>
          <w:szCs w:val="32"/>
        </w:rPr>
        <w:t>持续为经济困难的公民和部分刑事案件的当事人提供免费咨询、代理、刑事辩护等法律服务，维护群众合法权益</w:t>
      </w:r>
      <w:r>
        <w:rPr>
          <w:rFonts w:hint="eastAsia" w:ascii="仿宋" w:hAnsi="仿宋" w:eastAsia="仿宋" w:cs="仿宋"/>
          <w:kern w:val="0"/>
          <w:sz w:val="32"/>
          <w:szCs w:val="32"/>
          <w:lang w:eastAsia="zh-CN"/>
        </w:rPr>
        <w:t>。</w:t>
      </w:r>
    </w:p>
    <w:p w14:paraId="28EEFD30">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jc w:val="left"/>
        <w:textAlignment w:val="auto"/>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医患纠纷调解劳务费</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9</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仿宋" w:hAnsi="仿宋" w:eastAsia="仿宋" w:cs="仿宋"/>
          <w:kern w:val="0"/>
          <w:sz w:val="32"/>
          <w:szCs w:val="32"/>
        </w:rPr>
        <w:t>解决市级以上医疗机构发生的医疗纠纷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解决案情重大、疑难或者复杂的医疗纠纷</w:t>
      </w:r>
      <w:r>
        <w:rPr>
          <w:rFonts w:hint="eastAsia" w:ascii="仿宋" w:hAnsi="仿宋" w:eastAsia="仿宋" w:cs="仿宋"/>
          <w:sz w:val="32"/>
          <w:szCs w:val="32"/>
        </w:rPr>
        <w:t>，</w:t>
      </w:r>
      <w:r>
        <w:rPr>
          <w:rFonts w:hint="eastAsia" w:ascii="仿宋" w:hAnsi="仿宋" w:eastAsia="仿宋" w:cs="仿宋"/>
          <w:kern w:val="0"/>
          <w:sz w:val="32"/>
          <w:szCs w:val="32"/>
        </w:rPr>
        <w:t>维护社会稳定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解决矛盾纠纷、化解群体事件</w:t>
      </w:r>
      <w:r>
        <w:rPr>
          <w:rFonts w:hint="eastAsia" w:ascii="仿宋" w:hAnsi="仿宋" w:eastAsia="仿宋" w:cs="仿宋"/>
          <w:kern w:val="0"/>
          <w:sz w:val="32"/>
          <w:szCs w:val="32"/>
          <w:lang w:eastAsia="zh-CN"/>
        </w:rPr>
        <w:t>。</w:t>
      </w:r>
      <w:r>
        <w:rPr>
          <w:rFonts w:hint="eastAsia" w:ascii="仿宋" w:hAnsi="仿宋" w:eastAsia="仿宋" w:cs="仿宋"/>
          <w:sz w:val="32"/>
          <w:szCs w:val="32"/>
        </w:rPr>
        <w:t>发现的主要问题：</w:t>
      </w:r>
      <w:r>
        <w:rPr>
          <w:rFonts w:hint="eastAsia" w:ascii="仿宋" w:hAnsi="仿宋" w:eastAsia="仿宋" w:cs="仿宋"/>
          <w:kern w:val="0"/>
          <w:sz w:val="32"/>
          <w:szCs w:val="32"/>
        </w:rPr>
        <w:t>医患纠纷社会现象长期存在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涉及双方利益都难满意</w:t>
      </w:r>
      <w:r>
        <w:rPr>
          <w:rFonts w:hint="eastAsia" w:ascii="仿宋" w:hAnsi="仿宋" w:eastAsia="仿宋" w:cs="仿宋"/>
          <w:sz w:val="32"/>
          <w:szCs w:val="32"/>
        </w:rPr>
        <w:t>。下一步改进措施：</w:t>
      </w:r>
      <w:r>
        <w:rPr>
          <w:rFonts w:hint="eastAsia" w:ascii="仿宋" w:hAnsi="仿宋" w:eastAsia="仿宋" w:cs="仿宋"/>
          <w:sz w:val="32"/>
          <w:szCs w:val="32"/>
          <w:lang w:eastAsia="zh-CN"/>
        </w:rPr>
        <w:t>加强医患纠纷调解工作的推进，努力化解社会矛盾，维护社会和谐。</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15F1F35">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7281F2C">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7636AF3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258F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A7A0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《以案说法》电视节目制作费</w:t>
            </w:r>
          </w:p>
        </w:tc>
      </w:tr>
      <w:tr w14:paraId="404E339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3025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249CF">
            <w:pPr>
              <w:widowControl/>
              <w:jc w:val="center"/>
              <w:textAlignment w:val="center"/>
              <w:rPr>
                <w:rFonts w:ascii="宋体" w:hAnsi="宋体" w:cs="宋体"/>
                <w:color w:val="000000"/>
                <w:sz w:val="24"/>
              </w:rPr>
            </w:pPr>
            <w:r>
              <w:rPr>
                <w:rFonts w:hint="eastAsia" w:ascii="宋体" w:cs="宋体"/>
                <w:color w:val="000000"/>
                <w:sz w:val="24"/>
              </w:rPr>
              <w:t>遂宁市司法局</w:t>
            </w:r>
          </w:p>
        </w:tc>
      </w:tr>
      <w:tr w14:paraId="76361A9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53C6E">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65222">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680AB">
            <w:pPr>
              <w:widowControl/>
              <w:jc w:val="center"/>
              <w:textAlignment w:val="center"/>
              <w:rPr>
                <w:rFonts w:ascii="宋体" w:hAnsi="宋体" w:cs="宋体"/>
                <w:color w:val="000000"/>
                <w:sz w:val="24"/>
              </w:rPr>
            </w:pPr>
            <w:r>
              <w:rPr>
                <w:rFonts w:hint="eastAsia" w:ascii="宋体" w:cs="宋体"/>
                <w:color w:val="000000"/>
                <w:sz w:val="24"/>
                <w:lang w:val="en-US" w:eastAsia="zh-CN"/>
              </w:rPr>
              <w:t>3</w:t>
            </w:r>
            <w:r>
              <w:rPr>
                <w:rFonts w:hint="eastAsia" w:ascii="宋体" w:cs="宋体"/>
                <w:color w:val="000000"/>
                <w:sz w:val="24"/>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DEB6F">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2AB42">
            <w:pPr>
              <w:widowControl/>
              <w:jc w:val="center"/>
              <w:textAlignment w:val="center"/>
              <w:rPr>
                <w:rFonts w:ascii="宋体" w:hAnsi="宋体" w:cs="宋体"/>
                <w:color w:val="000000"/>
                <w:sz w:val="24"/>
              </w:rPr>
            </w:pPr>
            <w:r>
              <w:rPr>
                <w:rFonts w:hint="eastAsia" w:ascii="宋体" w:cs="宋体"/>
                <w:color w:val="000000"/>
                <w:sz w:val="24"/>
                <w:lang w:val="en-US" w:eastAsia="zh-CN"/>
              </w:rPr>
              <w:t>3</w:t>
            </w:r>
            <w:r>
              <w:rPr>
                <w:rFonts w:hint="eastAsia" w:ascii="宋体" w:cs="宋体"/>
                <w:color w:val="000000"/>
                <w:sz w:val="24"/>
              </w:rPr>
              <w:t>5万元</w:t>
            </w:r>
          </w:p>
        </w:tc>
      </w:tr>
      <w:tr w14:paraId="0341DB6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619D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D8D5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FD2BE">
            <w:pPr>
              <w:widowControl/>
              <w:jc w:val="center"/>
              <w:textAlignment w:val="center"/>
              <w:rPr>
                <w:rFonts w:ascii="宋体" w:hAnsi="宋体" w:cs="宋体"/>
                <w:color w:val="000000"/>
                <w:sz w:val="24"/>
              </w:rPr>
            </w:pPr>
            <w:r>
              <w:rPr>
                <w:rFonts w:hint="eastAsia" w:ascii="宋体" w:cs="宋体"/>
                <w:color w:val="000000"/>
                <w:sz w:val="24"/>
                <w:lang w:val="en-US" w:eastAsia="zh-CN"/>
              </w:rPr>
              <w:t>3</w:t>
            </w:r>
            <w:r>
              <w:rPr>
                <w:rFonts w:hint="eastAsia" w:ascii="宋体" w:cs="宋体"/>
                <w:color w:val="000000"/>
                <w:sz w:val="24"/>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0CF1C">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BE524">
            <w:pPr>
              <w:widowControl/>
              <w:jc w:val="center"/>
              <w:textAlignment w:val="center"/>
              <w:rPr>
                <w:rFonts w:ascii="宋体" w:hAnsi="宋体" w:cs="宋体"/>
                <w:color w:val="000000"/>
                <w:sz w:val="24"/>
              </w:rPr>
            </w:pPr>
            <w:r>
              <w:rPr>
                <w:rFonts w:hint="eastAsia" w:ascii="宋体" w:cs="宋体"/>
                <w:color w:val="000000"/>
                <w:sz w:val="24"/>
                <w:lang w:val="en-US" w:eastAsia="zh-CN"/>
              </w:rPr>
              <w:t>3</w:t>
            </w:r>
            <w:r>
              <w:rPr>
                <w:rFonts w:hint="eastAsia" w:ascii="宋体" w:cs="宋体"/>
                <w:color w:val="000000"/>
                <w:sz w:val="24"/>
              </w:rPr>
              <w:t>5万元</w:t>
            </w:r>
          </w:p>
        </w:tc>
      </w:tr>
      <w:tr w14:paraId="45586918">
        <w:tblPrEx>
          <w:tblCellMar>
            <w:top w:w="0" w:type="dxa"/>
            <w:left w:w="0" w:type="dxa"/>
            <w:bottom w:w="0" w:type="dxa"/>
            <w:right w:w="0" w:type="dxa"/>
          </w:tblCellMar>
        </w:tblPrEx>
        <w:trPr>
          <w:trHeight w:val="24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83B6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DB84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C57CE">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0046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42139">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5D82A03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6EDB7">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3D04F">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2B552">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9A48E1A">
        <w:tblPrEx>
          <w:tblCellMar>
            <w:top w:w="0" w:type="dxa"/>
            <w:left w:w="0" w:type="dxa"/>
            <w:bottom w:w="0" w:type="dxa"/>
            <w:right w:w="0" w:type="dxa"/>
          </w:tblCellMar>
        </w:tblPrEx>
        <w:trPr>
          <w:trHeight w:val="190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D4003">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A5472">
            <w:pPr>
              <w:widowControl/>
              <w:jc w:val="left"/>
              <w:textAlignment w:val="center"/>
              <w:rPr>
                <w:rFonts w:ascii="宋体" w:hAnsi="宋体" w:cs="宋体"/>
                <w:color w:val="000000"/>
                <w:sz w:val="24"/>
              </w:rPr>
            </w:pPr>
            <w:r>
              <w:rPr>
                <w:rFonts w:hint="eastAsia" w:ascii="宋体" w:cs="宋体"/>
                <w:color w:val="000000"/>
                <w:sz w:val="24"/>
              </w:rPr>
              <w:t>外购法治类电视节目</w:t>
            </w:r>
            <w:r>
              <w:rPr>
                <w:rFonts w:hint="eastAsia" w:ascii="宋体" w:cs="宋体"/>
                <w:color w:val="000000"/>
                <w:sz w:val="24"/>
                <w:lang w:val="en-US" w:eastAsia="zh-CN"/>
              </w:rPr>
              <w:t>35</w:t>
            </w:r>
            <w:r>
              <w:rPr>
                <w:rFonts w:hint="eastAsia" w:ascii="宋体" w:cs="宋体"/>
                <w:color w:val="000000"/>
                <w:sz w:val="24"/>
              </w:rPr>
              <w:t>万/年（打造周一至周日法治宣传时间段）。全年共制作《以案说法》节目52期左右。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366E8">
            <w:pPr>
              <w:widowControl/>
              <w:jc w:val="left"/>
              <w:textAlignment w:val="center"/>
              <w:rPr>
                <w:rFonts w:ascii="宋体" w:cs="宋体"/>
                <w:color w:val="000000"/>
                <w:sz w:val="24"/>
              </w:rPr>
            </w:pPr>
            <w:r>
              <w:rPr>
                <w:rFonts w:hint="eastAsia" w:ascii="宋体" w:cs="宋体"/>
                <w:color w:val="000000"/>
                <w:sz w:val="24"/>
              </w:rPr>
              <w:t>1、全年电视节目联办费用2</w:t>
            </w:r>
            <w:r>
              <w:rPr>
                <w:rFonts w:hint="eastAsia" w:ascii="宋体" w:cs="宋体"/>
                <w:color w:val="000000"/>
                <w:sz w:val="24"/>
                <w:lang w:val="en-US" w:eastAsia="zh-CN"/>
              </w:rPr>
              <w:t>5</w:t>
            </w:r>
            <w:r>
              <w:rPr>
                <w:rFonts w:hint="eastAsia" w:ascii="宋体" w:cs="宋体"/>
                <w:color w:val="000000"/>
                <w:sz w:val="24"/>
              </w:rPr>
              <w:t>万/年（主要用于编辑记者人力成本及设备消耗维护费用）</w:t>
            </w:r>
          </w:p>
          <w:p w14:paraId="50D95247">
            <w:pPr>
              <w:widowControl/>
              <w:jc w:val="left"/>
              <w:textAlignment w:val="center"/>
              <w:rPr>
                <w:rFonts w:ascii="宋体" w:cs="宋体"/>
                <w:color w:val="000000"/>
                <w:sz w:val="24"/>
              </w:rPr>
            </w:pPr>
            <w:r>
              <w:rPr>
                <w:rFonts w:hint="eastAsia" w:ascii="宋体" w:cs="宋体"/>
                <w:color w:val="000000"/>
                <w:sz w:val="24"/>
              </w:rPr>
              <w:t>2、节目摄制成本10万/年（包括素材收集费用、参考资料费用、打印复印费用、车旅费、误餐费及其它杂质，平均每期节目摄制成</w:t>
            </w:r>
            <w:r>
              <w:rPr>
                <w:rFonts w:hint="eastAsia" w:ascii="宋体" w:cs="宋体"/>
                <w:color w:val="000000"/>
                <w:sz w:val="24"/>
                <w:lang w:eastAsia="zh-CN"/>
              </w:rPr>
              <w:t>本</w:t>
            </w:r>
            <w:r>
              <w:rPr>
                <w:rFonts w:hint="eastAsia" w:ascii="宋体" w:cs="宋体"/>
                <w:color w:val="000000"/>
                <w:sz w:val="24"/>
              </w:rPr>
              <w:t>2000元）</w:t>
            </w:r>
          </w:p>
          <w:p w14:paraId="6B1D577A">
            <w:pPr>
              <w:widowControl/>
              <w:jc w:val="center"/>
              <w:textAlignment w:val="center"/>
              <w:rPr>
                <w:rFonts w:ascii="宋体" w:hAnsi="宋体" w:cs="宋体"/>
                <w:color w:val="000000"/>
                <w:sz w:val="24"/>
              </w:rPr>
            </w:pPr>
          </w:p>
        </w:tc>
      </w:tr>
      <w:tr w14:paraId="26EC6E9C">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362AA35">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29F9B">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7FDCA">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0E79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FF6AF">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1700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39ED947">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BB402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30FD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3BDF7">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1ED51">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52期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3FE72">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52期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5C7BA">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已完成</w:t>
            </w:r>
          </w:p>
        </w:tc>
      </w:tr>
      <w:tr w14:paraId="091A4435">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CBA334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82D4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AD7DE">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DD138">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全市城乡全覆盖，力求办成精品栏目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4414F">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全市城乡全覆盖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4A45E">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已完成</w:t>
            </w:r>
          </w:p>
        </w:tc>
      </w:tr>
      <w:tr w14:paraId="2DD9B597">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AA5ED4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CA9D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3EB8F">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5AA5F">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8000每期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E5E8B">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25万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C461B">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已完成</w:t>
            </w:r>
          </w:p>
        </w:tc>
      </w:tr>
      <w:tr w14:paraId="270DC05B">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54666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627B6">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18BA8">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933BF">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弘扬法治精神，普及法律知识，扎实推进法治遂宁建设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3A424">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弘扬法治精神，普及法律知识，扎实推进法治遂宁建设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D7546">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已完成</w:t>
            </w:r>
          </w:p>
        </w:tc>
      </w:tr>
      <w:tr w14:paraId="074FAE9D">
        <w:tblPrEx>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5439EE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7A50D">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BF12">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919BF">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满意度90%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9558B">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满意度90%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FF085">
            <w:pPr>
              <w:widowControl/>
              <w:jc w:val="center"/>
              <w:textAlignment w:val="center"/>
              <w:rPr>
                <w:rFonts w:ascii="宋体" w:hAnsi="Times New Roman" w:eastAsia="宋体" w:cs="宋体"/>
                <w:color w:val="000000"/>
                <w:kern w:val="2"/>
                <w:sz w:val="24"/>
                <w:szCs w:val="24"/>
                <w:lang w:val="en-US" w:eastAsia="zh-CN" w:bidi="ar-SA"/>
              </w:rPr>
            </w:pPr>
            <w:r>
              <w:rPr>
                <w:rFonts w:hint="eastAsia" w:ascii="宋体" w:cs="宋体"/>
                <w:color w:val="000000"/>
                <w:sz w:val="24"/>
              </w:rPr>
              <w:t>已完成</w:t>
            </w:r>
          </w:p>
        </w:tc>
      </w:tr>
    </w:tbl>
    <w:p w14:paraId="612F854D">
      <w:pPr>
        <w:spacing w:line="580" w:lineRule="exact"/>
        <w:rPr>
          <w:rFonts w:ascii="仿宋_GB2312" w:hAnsi="仿宋_GB2312" w:eastAsia="仿宋_GB2312" w:cs="仿宋_GB2312"/>
          <w:sz w:val="32"/>
          <w:szCs w:val="32"/>
        </w:rPr>
      </w:pPr>
    </w:p>
    <w:p w14:paraId="7B7161EA">
      <w:pPr>
        <w:spacing w:line="580" w:lineRule="exact"/>
        <w:ind w:left="630"/>
        <w:rPr>
          <w:rFonts w:hint="eastAsia" w:ascii="仿宋" w:hAnsi="仿宋" w:eastAsia="仿宋" w:cs="仿宋"/>
          <w:sz w:val="32"/>
          <w:szCs w:val="32"/>
        </w:rPr>
      </w:pPr>
      <w:r>
        <w:rPr>
          <w:rFonts w:hint="eastAsia" w:ascii="仿宋" w:hAnsi="仿宋" w:eastAsia="仿宋" w:cs="仿宋"/>
          <w:sz w:val="32"/>
          <w:szCs w:val="32"/>
        </w:rPr>
        <w:t>2.部门绩效评价结果。</w:t>
      </w:r>
    </w:p>
    <w:p w14:paraId="7E7E61E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本部门按要求对2019年部门整体支出绩效评价情况开展自评，《</w:t>
      </w:r>
      <w:r>
        <w:rPr>
          <w:rFonts w:hint="eastAsia" w:ascii="仿宋" w:hAnsi="仿宋" w:eastAsia="仿宋" w:cs="仿宋"/>
          <w:sz w:val="32"/>
          <w:szCs w:val="32"/>
          <w:lang w:eastAsia="zh-CN"/>
        </w:rPr>
        <w:t>遂宁市司法局</w:t>
      </w:r>
      <w:r>
        <w:rPr>
          <w:rFonts w:hint="eastAsia" w:ascii="仿宋" w:hAnsi="仿宋" w:eastAsia="仿宋" w:cs="仿宋"/>
          <w:sz w:val="32"/>
          <w:szCs w:val="32"/>
        </w:rPr>
        <w:t>2019年部门整体支出绩效评价报告》见附件（附件1）。</w:t>
      </w:r>
    </w:p>
    <w:p w14:paraId="036D43D8">
      <w:pPr>
        <w:spacing w:line="580" w:lineRule="exact"/>
        <w:ind w:firstLine="640" w:firstLineChars="200"/>
        <w:rPr>
          <w:rFonts w:hint="eastAsia" w:ascii="仿宋" w:hAnsi="仿宋" w:eastAsia="仿宋" w:cs="仿宋"/>
          <w:b/>
          <w:color w:val="000000"/>
          <w:sz w:val="32"/>
          <w:szCs w:val="32"/>
        </w:rPr>
      </w:pPr>
      <w:r>
        <w:rPr>
          <w:rFonts w:hint="eastAsia" w:ascii="仿宋" w:hAnsi="仿宋" w:eastAsia="仿宋" w:cs="仿宋"/>
          <w:sz w:val="32"/>
          <w:szCs w:val="32"/>
        </w:rPr>
        <w:t>本部门自行组织对</w:t>
      </w:r>
      <w:r>
        <w:rPr>
          <w:rFonts w:hint="eastAsia" w:ascii="仿宋" w:hAnsi="仿宋" w:eastAsia="仿宋" w:cs="仿宋"/>
          <w:sz w:val="32"/>
          <w:szCs w:val="32"/>
          <w:lang w:eastAsia="zh-CN"/>
        </w:rPr>
        <w:t>“</w:t>
      </w:r>
      <w:r>
        <w:rPr>
          <w:rFonts w:hint="eastAsia" w:ascii="仿宋" w:hAnsi="仿宋" w:eastAsia="仿宋" w:cs="仿宋"/>
          <w:color w:val="000000"/>
          <w:sz w:val="32"/>
          <w:szCs w:val="32"/>
          <w:lang w:eastAsia="zh-CN"/>
        </w:rPr>
        <w:t>《以案说法》电视节目制作费</w:t>
      </w:r>
      <w:r>
        <w:rPr>
          <w:rFonts w:hint="eastAsia" w:ascii="仿宋" w:hAnsi="仿宋" w:eastAsia="仿宋" w:cs="仿宋"/>
          <w:sz w:val="32"/>
          <w:szCs w:val="32"/>
          <w:lang w:eastAsia="zh-CN"/>
        </w:rPr>
        <w:t>”</w:t>
      </w:r>
      <w:r>
        <w:rPr>
          <w:rFonts w:hint="eastAsia" w:ascii="仿宋" w:hAnsi="仿宋" w:eastAsia="仿宋" w:cs="仿宋"/>
          <w:sz w:val="32"/>
          <w:szCs w:val="32"/>
        </w:rPr>
        <w:t>项目绩效评价，《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&lt;</w:t>
      </w:r>
      <w:r>
        <w:rPr>
          <w:rFonts w:hint="eastAsia" w:ascii="仿宋" w:hAnsi="仿宋" w:eastAsia="仿宋" w:cs="仿宋"/>
          <w:color w:val="000000"/>
          <w:sz w:val="32"/>
          <w:szCs w:val="32"/>
          <w:lang w:eastAsia="zh-CN"/>
        </w:rPr>
        <w:t>以案说法</w:t>
      </w:r>
      <w:r>
        <w:rPr>
          <w:rFonts w:hint="eastAsia" w:ascii="仿宋" w:hAnsi="仿宋" w:eastAsia="仿宋" w:cs="仿宋"/>
          <w:color w:val="000000"/>
          <w:sz w:val="32"/>
          <w:szCs w:val="32"/>
          <w:lang w:val="en-US" w:eastAsia="zh-CN"/>
        </w:rPr>
        <w:t>&gt;</w:t>
      </w:r>
      <w:r>
        <w:rPr>
          <w:rFonts w:hint="eastAsia" w:ascii="仿宋" w:hAnsi="仿宋" w:eastAsia="仿宋" w:cs="仿宋"/>
          <w:color w:val="000000"/>
          <w:sz w:val="32"/>
          <w:szCs w:val="32"/>
          <w:lang w:eastAsia="zh-CN"/>
        </w:rPr>
        <w:t>电视节目制作费</w:t>
      </w:r>
      <w:r>
        <w:rPr>
          <w:rFonts w:hint="eastAsia" w:ascii="仿宋" w:hAnsi="仿宋" w:eastAsia="仿宋" w:cs="仿宋"/>
          <w:sz w:val="32"/>
          <w:szCs w:val="32"/>
          <w:lang w:eastAsia="zh-CN"/>
        </w:rPr>
        <w:t>”</w:t>
      </w:r>
      <w:r>
        <w:rPr>
          <w:rFonts w:hint="eastAsia" w:ascii="仿宋" w:hAnsi="仿宋" w:eastAsia="仿宋" w:cs="仿宋"/>
          <w:sz w:val="32"/>
          <w:szCs w:val="32"/>
        </w:rPr>
        <w:t>项目2019年绩效评价报告》见附件（附件2）。（非涉密部门均需公开部门整体支出评价报告，部门自行组织的绩效评价情况根据部门实际公开，若未组织项目绩效评价，则只需说明部门整体支出绩效评价情况）</w:t>
      </w:r>
    </w:p>
    <w:p w14:paraId="01205A11">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E40D3DC">
      <w:pPr>
        <w:numPr>
          <w:ilvl w:val="0"/>
          <w:numId w:val="5"/>
        </w:numPr>
        <w:spacing w:line="600" w:lineRule="exact"/>
        <w:ind w:firstLine="660"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55"/>
      <w:bookmarkEnd w:id="56"/>
    </w:p>
    <w:p w14:paraId="753D5E24">
      <w:pPr>
        <w:spacing w:line="600" w:lineRule="exact"/>
        <w:jc w:val="left"/>
        <w:rPr>
          <w:rFonts w:ascii="宋体"/>
          <w:b/>
          <w:color w:val="000000"/>
          <w:sz w:val="44"/>
          <w:szCs w:val="44"/>
        </w:rPr>
      </w:pPr>
    </w:p>
    <w:p w14:paraId="72112DAC">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7B37304">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188A8A6D">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5AC82139">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06044C4F">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175B48F4">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32DAB451">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2B5AC6C4">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DF5B28E">
      <w:pPr>
        <w:ind w:firstLine="640"/>
        <w:rPr>
          <w:rFonts w:ascii="仿宋_GB2312" w:hAnsi="微软雅黑" w:eastAsia="仿宋_GB2312"/>
          <w:sz w:val="32"/>
        </w:rPr>
      </w:pPr>
      <w:r>
        <w:rPr>
          <w:rFonts w:ascii="仿宋_GB2312" w:eastAsia="仿宋_GB2312"/>
          <w:color w:val="000000"/>
          <w:sz w:val="32"/>
          <w:szCs w:val="32"/>
        </w:rPr>
        <w:t>9.</w:t>
      </w:r>
      <w:r>
        <w:rPr>
          <w:rFonts w:hint="eastAsia" w:ascii="仿宋_GB2312" w:hAnsi="微软雅黑" w:eastAsia="仿宋_GB2312"/>
          <w:sz w:val="32"/>
        </w:rPr>
        <w:t xml:space="preserve"> 公共安全（类）司法（款）行政运行（项）：是指局机关及参公管理事业单位正常运转的基本支出，包括基本工资、津贴补贴等人员经费以及办公费、印刷费、水电费等日常公用经费。</w:t>
      </w:r>
    </w:p>
    <w:p w14:paraId="4571C66D">
      <w:pPr>
        <w:ind w:firstLine="640"/>
        <w:rPr>
          <w:rFonts w:ascii="仿宋_GB2312" w:hAnsi="微软雅黑" w:eastAsia="仿宋_GB2312"/>
          <w:sz w:val="32"/>
        </w:rPr>
      </w:pPr>
      <w:r>
        <w:rPr>
          <w:rFonts w:hint="eastAsia" w:ascii="仿宋_GB2312" w:hAnsi="微软雅黑" w:eastAsia="仿宋_GB2312"/>
          <w:color w:val="000000"/>
          <w:sz w:val="32"/>
        </w:rPr>
        <w:t>10.</w:t>
      </w:r>
      <w:r>
        <w:rPr>
          <w:rFonts w:hint="eastAsia" w:ascii="仿宋_GB2312" w:hAnsi="微软雅黑" w:eastAsia="仿宋_GB2312"/>
          <w:sz w:val="32"/>
        </w:rPr>
        <w:t xml:space="preserve"> 公共安全（类）司法（款）一般行政管理事务（项）：是指行政单位未单独设置顶级科目的其他项目支出，包括办案业务支出、办案人员出差补助、住宿、案件补贴、装备的采购支出等。</w:t>
      </w:r>
    </w:p>
    <w:p w14:paraId="3C1B816E">
      <w:pPr>
        <w:ind w:firstLine="640"/>
        <w:rPr>
          <w:rFonts w:ascii="仿宋_GB2312" w:hAnsi="微软雅黑" w:eastAsia="仿宋_GB2312"/>
          <w:sz w:val="32"/>
        </w:rPr>
      </w:pPr>
      <w:r>
        <w:rPr>
          <w:rFonts w:hint="eastAsia" w:ascii="仿宋_GB2312" w:hAnsi="微软雅黑" w:eastAsia="仿宋_GB2312"/>
          <w:sz w:val="32"/>
        </w:rPr>
        <w:t>11. 公共安全（类）司法（款）事业运行（项）：是指事业单位机构正常运行、开展日常工作的基本支出。</w:t>
      </w:r>
    </w:p>
    <w:p w14:paraId="1A5356FE">
      <w:pPr>
        <w:ind w:firstLine="640"/>
        <w:rPr>
          <w:rFonts w:ascii="仿宋_GB2312" w:hAnsi="微软雅黑" w:eastAsia="仿宋_GB2312"/>
          <w:sz w:val="32"/>
        </w:rPr>
      </w:pPr>
      <w:r>
        <w:rPr>
          <w:rFonts w:hint="eastAsia" w:ascii="仿宋_GB2312" w:hAnsi="微软雅黑" w:eastAsia="仿宋_GB2312"/>
          <w:sz w:val="32"/>
        </w:rPr>
        <w:t>12.公共安全（类）司法（款）基层司法业务（项）：是指司法行政部门用于基层业务的支出，包括基层工作指导费、调节费、安置帮教费、“148”法律服务专用电话等支出。</w:t>
      </w:r>
    </w:p>
    <w:p w14:paraId="612DBE48">
      <w:pPr>
        <w:ind w:firstLine="640"/>
        <w:rPr>
          <w:rFonts w:ascii="仿宋_GB2312" w:hAnsi="微软雅黑" w:eastAsia="仿宋_GB2312"/>
          <w:sz w:val="32"/>
        </w:rPr>
      </w:pPr>
      <w:r>
        <w:rPr>
          <w:rFonts w:hint="eastAsia" w:ascii="仿宋_GB2312" w:hAnsi="微软雅黑" w:eastAsia="仿宋_GB2312"/>
          <w:sz w:val="32"/>
        </w:rPr>
        <w:t>13.公共安全（类）司法（款）普法宣传（项）：是指司法行政部门用于组织各种媒体的宣传、宣传资料、法制作品等支出。</w:t>
      </w:r>
    </w:p>
    <w:p w14:paraId="631FCF2F">
      <w:pPr>
        <w:ind w:firstLine="640"/>
        <w:rPr>
          <w:rFonts w:ascii="仿宋_GB2312" w:hAnsi="微软雅黑" w:eastAsia="仿宋_GB2312"/>
          <w:sz w:val="32"/>
        </w:rPr>
      </w:pPr>
      <w:r>
        <w:rPr>
          <w:rFonts w:hint="eastAsia" w:ascii="仿宋_GB2312" w:hAnsi="微软雅黑" w:eastAsia="仿宋_GB2312"/>
          <w:sz w:val="32"/>
        </w:rPr>
        <w:t>14. 公共安全（类）司法（款）法律援助（项）：是指法律援助机构用于开展法律援助工作的支出，包括法律援助人员参加外部培训的经费支出、法律案件补贴、法律人员出差补助、交通费、住宿费等支出。</w:t>
      </w:r>
    </w:p>
    <w:p w14:paraId="2D3E69EA">
      <w:pPr>
        <w:ind w:firstLine="640"/>
        <w:rPr>
          <w:rFonts w:ascii="仿宋_GB2312" w:hAnsi="微软雅黑" w:eastAsia="仿宋_GB2312"/>
          <w:sz w:val="32"/>
        </w:rPr>
      </w:pPr>
      <w:r>
        <w:rPr>
          <w:rFonts w:hint="eastAsia" w:ascii="仿宋_GB2312" w:hAnsi="微软雅黑" w:eastAsia="仿宋_GB2312"/>
          <w:sz w:val="32"/>
        </w:rPr>
        <w:t>15. 公共安全（类）司法（款）司法统一考试（项）：是指用于举办司法考试统一考试所需的支出，包括考试资料费、组织考试的差旅费等。</w:t>
      </w:r>
    </w:p>
    <w:p w14:paraId="394A1831">
      <w:pPr>
        <w:ind w:firstLine="640"/>
        <w:rPr>
          <w:rFonts w:ascii="仿宋_GB2312" w:hAnsi="微软雅黑" w:eastAsia="仿宋_GB2312"/>
          <w:sz w:val="32"/>
        </w:rPr>
      </w:pPr>
      <w:r>
        <w:rPr>
          <w:rFonts w:hint="eastAsia" w:ascii="仿宋_GB2312" w:hAnsi="微软雅黑" w:eastAsia="仿宋_GB2312"/>
          <w:sz w:val="32"/>
        </w:rPr>
        <w:t>16.公共安全（类）司法（款）其他司法支出（项）：是指司法行政部门发生的司法协助费、司法推广的宣传推广培训费等支出。</w:t>
      </w:r>
    </w:p>
    <w:p w14:paraId="214FF0A3">
      <w:pPr>
        <w:ind w:firstLine="640"/>
        <w:rPr>
          <w:rFonts w:ascii="仿宋_GB2312" w:hAnsi="微软雅黑" w:eastAsia="仿宋_GB2312"/>
          <w:sz w:val="32"/>
        </w:rPr>
      </w:pPr>
      <w:r>
        <w:rPr>
          <w:rFonts w:hint="eastAsia" w:ascii="仿宋_GB2312" w:hAnsi="微软雅黑" w:eastAsia="仿宋_GB2312"/>
          <w:sz w:val="32"/>
        </w:rPr>
        <w:t>17. 社会保障和就业（类）行政事业单位离退休（款）未归口管理的行政单位离退休（项）：是指保障局机关离退休人员经费支出。</w:t>
      </w:r>
    </w:p>
    <w:p w14:paraId="14E7F480">
      <w:pPr>
        <w:ind w:firstLine="640"/>
        <w:rPr>
          <w:rFonts w:ascii="仿宋_GB2312" w:hAnsi="微软雅黑" w:eastAsia="仿宋_GB2312"/>
          <w:sz w:val="32"/>
        </w:rPr>
      </w:pPr>
      <w:r>
        <w:rPr>
          <w:rFonts w:hint="eastAsia" w:ascii="仿宋_GB2312" w:hAnsi="微软雅黑" w:eastAsia="仿宋_GB2312"/>
          <w:sz w:val="32"/>
        </w:rPr>
        <w:t>18. 社会保障和就业（类）行政事业单位离退休（款）机关事业单位基本养老保险缴费支出（项）：指实施养老保险制度后，部门按规定由单位缴纳的基本养老保险费支出。</w:t>
      </w:r>
    </w:p>
    <w:p w14:paraId="3C42BF8E">
      <w:pPr>
        <w:ind w:firstLine="640"/>
        <w:rPr>
          <w:rFonts w:ascii="仿宋_GB2312" w:hAnsi="微软雅黑" w:eastAsia="仿宋_GB2312"/>
          <w:sz w:val="32"/>
        </w:rPr>
      </w:pPr>
      <w:r>
        <w:rPr>
          <w:rFonts w:hint="eastAsia" w:ascii="仿宋_GB2312" w:hAnsi="微软雅黑" w:eastAsia="仿宋_GB2312"/>
          <w:sz w:val="32"/>
        </w:rPr>
        <w:t>19. 医疗卫生与计划生育（类）行政事业单位医疗（款）行政单位医疗（项）：是指局机关及参公管理事业单位基本医疗保险缴费支出。</w:t>
      </w:r>
    </w:p>
    <w:p w14:paraId="72C24D5E">
      <w:pPr>
        <w:ind w:firstLine="640"/>
        <w:rPr>
          <w:rFonts w:ascii="仿宋_GB2312" w:hAnsi="Calibri" w:eastAsia="仿宋_GB2312"/>
          <w:sz w:val="32"/>
        </w:rPr>
      </w:pPr>
      <w:r>
        <w:rPr>
          <w:rFonts w:hint="eastAsia" w:ascii="仿宋_GB2312" w:hAnsi="黑体" w:eastAsia="仿宋_GB2312"/>
          <w:sz w:val="32"/>
        </w:rPr>
        <w:t>20. 医疗卫生与计划生育（类）行政事业单位医疗（款）事业单位医疗（项）：</w:t>
      </w:r>
      <w:r>
        <w:rPr>
          <w:rFonts w:hint="eastAsia" w:ascii="仿宋_GB2312" w:hAnsi="Calibri" w:eastAsia="仿宋_GB2312"/>
          <w:sz w:val="32"/>
        </w:rPr>
        <w:t>是指部门下属事业单位基本医疗保险缴费支出。</w:t>
      </w:r>
    </w:p>
    <w:p w14:paraId="3B9754B9">
      <w:pPr>
        <w:ind w:firstLine="640"/>
        <w:rPr>
          <w:rFonts w:ascii="仿宋_GB2312" w:hAnsi="Calibri" w:eastAsia="仿宋_GB2312"/>
          <w:sz w:val="32"/>
        </w:rPr>
      </w:pPr>
      <w:r>
        <w:rPr>
          <w:rFonts w:hint="eastAsia" w:ascii="仿宋_GB2312" w:hAnsi="黑体" w:eastAsia="仿宋_GB2312"/>
          <w:sz w:val="32"/>
        </w:rPr>
        <w:t>21. 住房保障（类）住房改革支出（款）住房公积金（项）：</w:t>
      </w:r>
      <w:r>
        <w:rPr>
          <w:rFonts w:hint="eastAsia" w:ascii="仿宋_GB2312" w:hAnsi="Calibri" w:eastAsia="仿宋_GB2312"/>
          <w:sz w:val="32"/>
        </w:rPr>
        <w:t>是指部门按规定的工资总额以及规定比例为职工缴纳的住房公积金支出。</w:t>
      </w:r>
    </w:p>
    <w:p w14:paraId="19B57637">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6C2049B1">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4859AE5">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E1955D0">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140F8240">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1F03D3">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7DA23E">
      <w:pPr>
        <w:pStyle w:val="24"/>
        <w:spacing w:line="560" w:lineRule="exact"/>
        <w:ind w:firstLine="640" w:firstLineChars="200"/>
        <w:rPr>
          <w:rFonts w:ascii="仿宋_GB2312" w:eastAsia="仿宋_GB2312" w:cs="黑体"/>
          <w:sz w:val="32"/>
          <w:szCs w:val="32"/>
        </w:rPr>
      </w:pPr>
    </w:p>
    <w:p w14:paraId="15B5BCDC">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405CED0F">
      <w:pPr>
        <w:spacing w:line="600" w:lineRule="exact"/>
        <w:jc w:val="center"/>
        <w:outlineLvl w:val="0"/>
        <w:rPr>
          <w:rStyle w:val="2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14:paraId="6A5F9774">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2649D60A">
      <w:pPr>
        <w:spacing w:line="580" w:lineRule="exact"/>
        <w:jc w:val="center"/>
        <w:rPr>
          <w:rFonts w:ascii="方正小标宋简体" w:hAnsi="方正小标宋简体" w:eastAsia="方正小标宋简体" w:cs="方正小标宋简体"/>
          <w:sz w:val="44"/>
          <w:szCs w:val="44"/>
        </w:rPr>
      </w:pPr>
    </w:p>
    <w:p w14:paraId="62375B17">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遂宁市司法局</w:t>
      </w:r>
    </w:p>
    <w:p w14:paraId="16E9870D">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70979E79">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5BD28AC">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6360B6C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14:paraId="342A7EBA">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遂宁市司法局属财政一级预算单位，下属二级预算单位为市仲裁委。</w:t>
      </w:r>
    </w:p>
    <w:p w14:paraId="4C667AD4">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办公室。处理市司法局日常政务和事务。负责本机关文电、会务、接待、后勤服务、机要、档案、保密、信访、绩效管理、信息宣传、政务公开、政府信息公开、司法行政舆情管理、综治维稳、安全生产、职业健康、生态环境保护等工作。承担综合公文的起草审核、重大政务督办、史志年鉴编纂等工作。组织办理人大代表建议、政协委员提案。</w:t>
      </w:r>
    </w:p>
    <w:p w14:paraId="3E58FB92">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法治督察调研科。开展全面依法治市理论与实践调查研究工作，提出政策建议。承办全面依法治市工作规划建议的协调工作。组织起草全面依法治市有关重要文件。研究提出建设法治政府、推进依法行政的意见和措施。研究提出法治领域深化改革的意见和措施。拟订全面依法治市决策部署的年度督察工作计划，开展重大专项督察，提出督察意见、问责建议。接受各县（区）政府、市政府各部门和市直园区管委会法治工作重要决定和方案的备案。规划、协调、指导法治人才队伍建设相关工作。拟订本系统发展战略、发展规划、重大政策。推进司法行政改革。</w:t>
      </w:r>
    </w:p>
    <w:p w14:paraId="04DD586D">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行政立法科。承办行政立法规划和年度行政立法计划建议的协调工作，向有关方面和社会征集行政立法项目建议意见，组织拟订市政府年度行政立法工作计划建议。承担地方性法规、市政府规章的草案起草或者组织起草、审查和市政府规章的解释、具体应用问题的答复工作。组织开展市政府规章的清理、编纂、翻译工作和行政立法后评估工作。承办相关法律、法规草案的征求意见回复工作。</w:t>
      </w:r>
    </w:p>
    <w:p w14:paraId="71B28BBA">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合法性审查科。负责市委、市政府规范性文件、重大行政决策发布前的合法性审查。承办市政府规范性文件的报送备案工作。负责各县（区）政府、市政府各部门和市直园区管委会规范性文件报送市政府的备案审查工作。组织开展规范性文件清理。负责市本级政府合同管理、市政府涉法事务处理。</w:t>
      </w:r>
    </w:p>
    <w:p w14:paraId="1BF2A1BC">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社区矫正管理科（戒毒工作指导科）。监督检查社区矫正法律、法规、规章和政策的执行工作。监督对社区矫正对象的刑罚执行、管理教育和帮扶工作。指导社会力量和志愿者参与社区矫正工作。指导对刑满释放人员的帮教安置工作。指导监督本系统强制隔离戒毒执行和戒毒康复工作。指导、支持和协助社区戒毒和社区康复工作。</w:t>
      </w:r>
    </w:p>
    <w:p w14:paraId="0124247F">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行政复议与应诉科。监督协调全市行政复议、行政诉讼、行政裁决、行政赔偿工作。办理向市政府申请的行政复议案件。受市政府委托承办市政府为被告的行政诉讼及民事诉讼案件并出庭应诉。办理省政府裁决案件和市信访复查复核委员会案件。办理向市政府申请行政赔偿的案件。办理向市司法局申请的行政赔偿案件和以市司法局为被告的诉讼案件。承担市政府行政复议委员会办公室日常工作。</w:t>
      </w:r>
    </w:p>
    <w:p w14:paraId="2941B319">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行政执法协调监督科（外来企业投诉科）。负责全市行政执法的综合协调、监督检查和评价工作。协调行政执法体制改革和行政执法的普遍性重要性问题。负责全市行政执法人员、执法监督人员的资格和证件管理，推进严格规范公正文明执法。协调各县（区）、各部门在执法中产生的重大矛盾和争议。办理有关行政执法投诉举报案件。指导监督全市外来企业投诉处理工作。为外来企业、民营企业及投资者提供法律、政策咨询服务。依法组织调解和协调，帮助外来企业维护其合法权益。会同有关部门对外来企业投诉事项进行调查核实，提出处理意见。</w:t>
      </w:r>
    </w:p>
    <w:p w14:paraId="6B181FB3">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普法与依法治理科。拟订法治宣传教育规划并组织实施。指导监督各地、各部门“谁执法谁普法”的普法责任制落实工作。指导监督国家工作人员学法用法工作，推进全民普法。承担市政府常务会议会前学法工作。指导各地、各部门、各行业依法治理和法治创建工作。组织对外法治宣传。指导社会主义法治文化建设。</w:t>
      </w:r>
    </w:p>
    <w:p w14:paraId="7E335D4A">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人民参与和促进法治科。拟订保障人民群众参与、促进、监督法治建设的制度措施。指导人民团体、群众自治组织和社会组织参与、支持法治社会建设工作。指导人民调解、行政调解和行业性专业性调解工作。负责并指导人民监督员选任管理工作。指导监督人民陪审员选任工作。推进司法所建设。</w:t>
      </w:r>
    </w:p>
    <w:p w14:paraId="109DB976">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公共法律服务管理科（行政审批科）。负责规划和推进公共法律服务体系和平台建设工作。监督管理法律援助、司法鉴定、公证、仲裁工作。编制遂宁市司法鉴定、公证和仲裁名册并公告。监督管理律师和律师事务所工作。承办特许执业律师的审核报批工作。指导监督党政机关、企事业单位法律顾问工作。管理公职律师、公司律师工作。指导监督基层法律服务工作。指导社会组织和志愿者开展法律服务工作。推进本系统行政审批制度改革，负责本部门“放管服”改革工作。办理市司法局行政许可事项。承担本部门政务服务事项的清理和纳入电子政务平台的工作，推进行政权力依法规范运行。规划和组织实施全市国家统一法律职业资格考试工作。负责全市国家统一法律职业资格申请、审核、报批、发证、档案建立使用、违纪违规处理等管理工作。组织实施法律职业人员入职前培训工作。</w:t>
      </w:r>
    </w:p>
    <w:p w14:paraId="58FB7354">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装备财务保障科（科技信息科）。指导本系统财务、物资装备和基本建设管理工作。指导监督本系统中央和省级、市级政法补助专款和基建投资的使用工作。负责本系统服装和警车等监督管理工作。负责本部门的预决算、财务管理、国有资产管理、政府采购、基本建设和网络信息安全工作。指导推进本系统科技与信息化工作。拟订本系统电子政务和科技信息化发展规划、技术标准并协调落实。负责本部门科技信息化基础建设和涉及重大信息化项目的规划、设计、实施和管理。</w:t>
      </w:r>
    </w:p>
    <w:p w14:paraId="3AC3755A">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政治部（警务部）。负责本系统党的建设、班子队伍建设工作。负责本系统机构编制、干部人事、教育培训、文化建设工作。承办县（区）司法局领导干部的协管工作。负责本系统人民警察警务管理和警务督察工作。负责全市行政执法人员、执法监督人员的培训、考试工作。</w:t>
      </w:r>
    </w:p>
    <w:p w14:paraId="5E23A823">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（13）机关党委。负责机关和所属事业单位的党群工作和离退休人员工作。负责机关党风廉政建设和纪律作风建设工作。联系指导大英监狱党建工作。机关党委办事机构按照市委有关规定设置。</w:t>
      </w:r>
    </w:p>
    <w:p w14:paraId="39E2C37C">
      <w:pPr>
        <w:pStyle w:val="2"/>
        <w:keepNext w:val="0"/>
        <w:keepLines w:val="0"/>
        <w:pageBreakBefore w:val="0"/>
        <w:kinsoku/>
        <w:wordWrap/>
        <w:overflowPunct/>
        <w:topLinePunct w:val="0"/>
        <w:autoSpaceDE/>
        <w:autoSpaceDN/>
        <w:bidi w:val="0"/>
        <w:adjustRightInd w:val="0"/>
        <w:snapToGrid w:val="0"/>
        <w:spacing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（14）市委依法治市办秘书科。负责处理市委依法治市办日常事务和党政法律顾问团工作。</w:t>
      </w:r>
    </w:p>
    <w:p w14:paraId="132402AF">
      <w:pPr>
        <w:pStyle w:val="2"/>
        <w:keepNext w:val="0"/>
        <w:keepLines w:val="0"/>
        <w:pageBreakBefore w:val="0"/>
        <w:kinsoku/>
        <w:wordWrap/>
        <w:overflowPunct/>
        <w:topLinePunct w:val="0"/>
        <w:autoSpaceDE/>
        <w:autoSpaceDN/>
        <w:bidi w:val="0"/>
        <w:adjustRightInd w:val="0"/>
        <w:snapToGrid w:val="0"/>
        <w:spacing w:line="360" w:lineRule="auto"/>
        <w:ind w:left="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rPr>
        <w:t>（15）河东新区司法分局、高新区司法分局、经开区司法分局。负责贯彻落实党中央关于全面依法治国的方针政策和省委、市委的决策部署，推进园区全面依法治理，加强园区法治建设。负责园区全面依法治理重大问题的调查研究，协调有关方面提出园区全面依法治理的规划建议，负责有关重大决策部署督察工作。负责配合做好涉及园区的相关地方立法工作。负责园区党工委、管委会规范性文件、重大行政决策、重要合同的合法性审查，以及规范性文件的报送备案。负责统筹推进园区依法行政工作，负责综合协调、监督检查行政执法。负责园区内社区服刑人员的刑罚执行和教育矫正工作，指导刑满释放人员帮教安置工作，对社区戒毒和社区康复工作提供指导、支持和协助。负责拟订园区法治宣传教育规划，组织园区各单位和各基层组织开展普法宣传，推动人民参与和促进法治建设，指导依法治理和法治创建工作，指导调解工作，开展矛盾纠纷排查化解。负责构建园区公共法律服务体系，协助做好外来企业投诉工作，服务园区经济社会发展。承办园区党工委、管委会及市司法局交办的其他任务。</w:t>
      </w:r>
    </w:p>
    <w:p w14:paraId="2529626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（二）机构职能。</w:t>
      </w:r>
    </w:p>
    <w:p w14:paraId="21C8C983">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sz w:val="32"/>
          <w:szCs w:val="32"/>
        </w:rPr>
        <w:t>（1）承担全面依法治市重大问题的政策研究，协调有关方面提出全面依法治市规划建议，负责有关重大决策部署督察工作。</w:t>
      </w:r>
    </w:p>
    <w:p w14:paraId="693947F2">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承担统筹规划行政立法工作的责任。协调有关方面提出行政立法规划和年度行政立法工作计划的建议，负责跟踪了解各部门对行政立法工作计划的落实情况，加强组织实施和督促指导，研究提出行政立法与改革决策相衔接的意见、措施。负责面向社会征集地方性法规、规章制定项目建议。</w:t>
      </w:r>
    </w:p>
    <w:p w14:paraId="5600469C">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（3）负责起草或者组织起草地方性法规、市政府规章草案。负责市政府各部门报送市政府的地方性法规、规章草案的审查工作。负责行政立法协调。</w:t>
      </w:r>
    </w:p>
    <w:p w14:paraId="4CD80CCF">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（4）承担市政府规章的解释、行政立法后评估工作。负责协调各地、各部门实施法律、法规、规章中的有关争议和问题。承办市政府规章的清理、编纂、翻译工作。承办市政府规章报送备案工作。</w:t>
      </w:r>
    </w:p>
    <w:p w14:paraId="451A2FDF">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负责市委、市政府规范性文件、重大行政决策发布前的合法性审查。承办市政府规范性文件的报送备案工作。负责各县（区）政府和市政府各部门规范性文件报送市政府的备案审查工作。组织开展规范性文件清理。负责市本级政府合同管理、市政府涉法事务处理。</w:t>
      </w:r>
    </w:p>
    <w:p w14:paraId="2C8C74C4">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承担统筹推进法治政府建设的责任。监督指导各县（区）政府、市政府各部门、市直园区管委会依法行政工作。负责综合协调、监督检查行政执法，承担推进行政执法体制改革有关工作，推进严格规范公正文明执法。指导监督全市行政复议、行政应诉和行政赔偿工作，承办向市政府申请的行政复议、行政赔偿案件，代理市政府行政应诉案件。</w:t>
      </w:r>
    </w:p>
    <w:p w14:paraId="1DF5F5CD">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承担统筹规划法治社会建设的责任。负责拟订法治宣传教育规划，组织实施普法宣传，组织对外法治宣传。推动人民参与和促进法治建设。指导依法治理和法治创建工作。指导调解工作。负责并指导人民监督员的选任管理工作。指导监督人民陪审员选任工作。推进司法所建设。</w:t>
      </w:r>
    </w:p>
    <w:p w14:paraId="678188B0">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（8）指导管理社区矫正工作。指导刑满释放人员帮教安置工作。</w:t>
      </w:r>
    </w:p>
    <w:p w14:paraId="16A4DA4E">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（9）负责全市司法行政戒毒管理工作。指导监督本系统强制隔离戒毒执行和戒毒康复工作。对社区戒毒和社区康复工作提供指导、支持和协助。</w:t>
      </w:r>
    </w:p>
    <w:p w14:paraId="13D0418D">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（10）负责拟订全市公共法律服务体系建设规划并指导实施，统筹和布局全市城乡、区域法律服务资源。指导监督律师、法律援助、司法鉴定、公证、仲裁和基层法律服务工作。</w:t>
      </w:r>
    </w:p>
    <w:p w14:paraId="60C16AFC">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（11）负责全市国家统一法律职业资格考试的组织实施工作。负责全市国家统一法律职业资格管理工作。负责规划和指导法律职业人员入职前培训工作。</w:t>
      </w:r>
    </w:p>
    <w:p w14:paraId="40DDF8BA">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（12）负责本系统服装和警车管理工作。指导监督本系统财务、装备、设施、场所等保障工作。</w:t>
      </w:r>
    </w:p>
    <w:p w14:paraId="21692637">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（13）规划、协调、指导法治人才队伍建设相关工作，指导监督本系统队伍建设。协助县（区）管理司法局领导干部。</w:t>
      </w:r>
    </w:p>
    <w:p w14:paraId="11A65AA7">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（14）负责并指导本系统行政审批工作。负责全市外来企业涉及政务服务和行政执法方面的投诉处理。</w:t>
      </w:r>
    </w:p>
    <w:p w14:paraId="2AE5B046">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（15）负责职责范围内的安全生产和职业健康、生态环境保护、审批服务便民化等工作。</w:t>
      </w:r>
    </w:p>
    <w:p w14:paraId="6EE835AF">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（16）完成市委和市政府交办的其他任务。</w:t>
      </w:r>
    </w:p>
    <w:p w14:paraId="6E113D2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（三）人员概况。</w:t>
      </w:r>
      <w:r>
        <w:rPr>
          <w:rFonts w:hint="eastAsia" w:ascii="仿宋" w:hAnsi="仿宋" w:eastAsia="仿宋" w:cs="仿宋"/>
          <w:color w:val="000000"/>
          <w:kern w:val="0"/>
          <w:sz w:val="32"/>
          <w:szCs w:val="32"/>
          <w:shd w:val="clear" w:color="auto" w:fill="FFFFFF"/>
          <w:lang w:val="en-US" w:eastAsia="zh-CN"/>
        </w:rPr>
        <w:t xml:space="preserve"> </w:t>
      </w:r>
    </w:p>
    <w:p w14:paraId="49C248E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市司法局政法专项编制53名（其中超编2名）。其中，局长1名，副局长4名，政治部（警务部）主任1名，机关党委书记1名，派驻纪检组组长1名；正科级领导职数19名，副科级领导职数12名，科员14名；参照公务员管理办法人员6名，全额拨款的事业人员2名，工勤人员2名。</w:t>
      </w:r>
    </w:p>
    <w:p w14:paraId="219FF510">
      <w:pPr>
        <w:pStyle w:val="2"/>
        <w:keepNext w:val="0"/>
        <w:keepLines w:val="0"/>
        <w:pageBreakBefore w:val="0"/>
        <w:kinsoku/>
        <w:wordWrap/>
        <w:overflowPunct/>
        <w:topLinePunct w:val="0"/>
        <w:autoSpaceDE/>
        <w:autoSpaceDN/>
        <w:bidi w:val="0"/>
        <w:adjustRightInd w:val="0"/>
        <w:snapToGrid w:val="0"/>
        <w:spacing w:line="360" w:lineRule="auto"/>
        <w:ind w:left="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color w:val="000000"/>
          <w:sz w:val="32"/>
          <w:szCs w:val="32"/>
        </w:rPr>
        <w:t xml:space="preserve"> 遂宁仲裁委员会办公室参照公务员管理办法人员8名，工勤人员1名。</w:t>
      </w:r>
    </w:p>
    <w:p w14:paraId="07CD3C9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1096A4A3">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14:paraId="38467C7C">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rPr>
        <w:t>2019年遂宁市司法局本年收入合计</w:t>
      </w:r>
      <w:r>
        <w:rPr>
          <w:rFonts w:hint="eastAsia" w:ascii="仿宋" w:hAnsi="仿宋" w:eastAsia="仿宋" w:cs="仿宋"/>
          <w:sz w:val="32"/>
          <w:szCs w:val="32"/>
        </w:rPr>
        <w:t>1982.55</w:t>
      </w:r>
      <w:r>
        <w:rPr>
          <w:rFonts w:hint="eastAsia" w:ascii="仿宋" w:hAnsi="仿宋" w:eastAsia="仿宋" w:cs="仿宋"/>
          <w:color w:val="000000"/>
          <w:sz w:val="32"/>
          <w:szCs w:val="32"/>
        </w:rPr>
        <w:t>万元，其中：一般公共预算财政拨款收入</w:t>
      </w:r>
      <w:r>
        <w:rPr>
          <w:rFonts w:hint="eastAsia" w:ascii="仿宋" w:hAnsi="仿宋" w:eastAsia="仿宋" w:cs="仿宋"/>
          <w:sz w:val="32"/>
          <w:szCs w:val="32"/>
        </w:rPr>
        <w:t>1982.55</w:t>
      </w:r>
      <w:r>
        <w:rPr>
          <w:rFonts w:hint="eastAsia" w:ascii="仿宋" w:hAnsi="仿宋" w:eastAsia="仿宋" w:cs="仿宋"/>
          <w:color w:val="000000"/>
          <w:sz w:val="32"/>
          <w:szCs w:val="32"/>
        </w:rPr>
        <w:t>万元，占100%。</w:t>
      </w:r>
    </w:p>
    <w:p w14:paraId="13D01569">
      <w:pPr>
        <w:keepNext w:val="0"/>
        <w:keepLines w:val="0"/>
        <w:pageBreakBefore w:val="0"/>
        <w:numPr>
          <w:ilvl w:val="0"/>
          <w:numId w:val="6"/>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14:paraId="639966D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  2019</w:t>
      </w:r>
      <w:r>
        <w:rPr>
          <w:rFonts w:hint="eastAsia" w:ascii="仿宋" w:hAnsi="仿宋" w:eastAsia="仿宋" w:cs="仿宋"/>
          <w:color w:val="000000"/>
          <w:sz w:val="32"/>
          <w:szCs w:val="32"/>
        </w:rPr>
        <w:t>年遂宁市司法局本年支出合计1790.18万元</w:t>
      </w:r>
      <w:r>
        <w:rPr>
          <w:rFonts w:hint="eastAsia" w:ascii="仿宋" w:hAnsi="仿宋" w:eastAsia="仿宋" w:cs="仿宋"/>
          <w:sz w:val="32"/>
          <w:szCs w:val="32"/>
        </w:rPr>
        <w:t>，</w:t>
      </w:r>
      <w:r>
        <w:rPr>
          <w:rFonts w:hint="eastAsia" w:ascii="仿宋" w:hAnsi="仿宋" w:eastAsia="仿宋" w:cs="仿宋"/>
          <w:color w:val="000000"/>
          <w:sz w:val="32"/>
          <w:szCs w:val="32"/>
        </w:rPr>
        <w:t>其中，一般公共预算财政拨款支出1790.18万元，主要用于以下方面：一般公共服务支出257.31万元；公共安全支出1260.33万元；社会保障和就业支出108.09万元；卫生健康支出51.35万元；住房保障支出109.62万元。</w:t>
      </w:r>
    </w:p>
    <w:p w14:paraId="5D3A9321">
      <w:pPr>
        <w:adjustRightInd w:val="0"/>
        <w:snapToGrid w:val="0"/>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其中：基本支出1406.42万元，占78.56%；项目支出383.75万元，占21.44%。</w:t>
      </w:r>
    </w:p>
    <w:p w14:paraId="5E770539">
      <w:pPr>
        <w:adjustRightInd w:val="0"/>
        <w:snapToGrid w:val="0"/>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项目支出明细分类：</w:t>
      </w:r>
    </w:p>
    <w:p w14:paraId="35CC14C2">
      <w:pPr>
        <w:adjustRightInd w:val="0"/>
        <w:snapToGrid w:val="0"/>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sz w:val="32"/>
          <w:szCs w:val="32"/>
        </w:rPr>
        <w:t>（1）一般行政管理事务：司法行政指挥中心服务费</w:t>
      </w:r>
      <w:r>
        <w:rPr>
          <w:rFonts w:hint="eastAsia" w:ascii="仿宋" w:hAnsi="仿宋" w:eastAsia="仿宋" w:cs="仿宋"/>
          <w:color w:val="000000"/>
          <w:sz w:val="32"/>
          <w:szCs w:val="32"/>
        </w:rPr>
        <w:t>70万元，设备购置费5.19万元，驻村帮扶干部工作经费6.25万元，2017年政法转移支付资金33.15万元，2018年政法转移支付资金37.35万元，2019年政府转移支付资金9.01万元，政法专网及电子政务外网委托业务费8万元，信访专项经费9.07万元，物业管理费21.9万元，公务接待费1.55万元，公务用车运行维护费12.89万元，依法治市工作经费8万元，仲裁案件办案经费52.78万元。</w:t>
      </w:r>
    </w:p>
    <w:p w14:paraId="0B747ED1">
      <w:pPr>
        <w:adjustRightInd w:val="0"/>
        <w:snapToGrid w:val="0"/>
        <w:spacing w:line="360" w:lineRule="auto"/>
        <w:ind w:firstLine="640" w:firstLineChars="200"/>
        <w:jc w:val="left"/>
        <w:rPr>
          <w:rFonts w:hint="eastAsia" w:ascii="仿宋" w:hAnsi="仿宋" w:eastAsia="仿宋" w:cs="仿宋"/>
          <w:b/>
          <w:color w:val="000000"/>
          <w:sz w:val="32"/>
          <w:szCs w:val="32"/>
        </w:rPr>
      </w:pPr>
      <w:r>
        <w:rPr>
          <w:rFonts w:hint="eastAsia" w:ascii="仿宋" w:hAnsi="仿宋" w:eastAsia="仿宋" w:cs="仿宋"/>
          <w:sz w:val="32"/>
          <w:szCs w:val="32"/>
        </w:rPr>
        <w:t>（2）</w:t>
      </w:r>
      <w:r>
        <w:rPr>
          <w:rFonts w:hint="eastAsia" w:ascii="仿宋" w:hAnsi="仿宋" w:eastAsia="仿宋" w:cs="仿宋"/>
          <w:bCs/>
          <w:sz w:val="32"/>
          <w:szCs w:val="32"/>
        </w:rPr>
        <w:t>基层司法业务</w:t>
      </w:r>
      <w:r>
        <w:rPr>
          <w:rFonts w:hint="eastAsia" w:ascii="仿宋" w:hAnsi="仿宋" w:eastAsia="仿宋" w:cs="仿宋"/>
          <w:sz w:val="32"/>
          <w:szCs w:val="32"/>
        </w:rPr>
        <w:t>：</w:t>
      </w:r>
      <w:r>
        <w:rPr>
          <w:rFonts w:hint="eastAsia" w:ascii="仿宋" w:hAnsi="仿宋" w:eastAsia="仿宋" w:cs="仿宋"/>
          <w:color w:val="000000"/>
          <w:sz w:val="32"/>
          <w:szCs w:val="32"/>
        </w:rPr>
        <w:t>人民调解工作劳务费0.56万元。</w:t>
      </w:r>
    </w:p>
    <w:p w14:paraId="0B6ECCC5">
      <w:pPr>
        <w:adjustRightInd w:val="0"/>
        <w:snapToGrid w:val="0"/>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sz w:val="32"/>
          <w:szCs w:val="32"/>
        </w:rPr>
        <w:t>（3）</w:t>
      </w:r>
      <w:r>
        <w:rPr>
          <w:rFonts w:hint="eastAsia" w:ascii="仿宋" w:hAnsi="仿宋" w:eastAsia="仿宋" w:cs="仿宋"/>
          <w:bCs/>
          <w:sz w:val="32"/>
          <w:szCs w:val="32"/>
        </w:rPr>
        <w:t>普法宣传</w:t>
      </w:r>
      <w:r>
        <w:rPr>
          <w:rFonts w:hint="eastAsia" w:ascii="仿宋" w:hAnsi="仿宋" w:eastAsia="仿宋" w:cs="仿宋"/>
          <w:sz w:val="32"/>
          <w:szCs w:val="32"/>
        </w:rPr>
        <w:t xml:space="preserve">: </w:t>
      </w:r>
      <w:r>
        <w:rPr>
          <w:rFonts w:hint="eastAsia" w:ascii="仿宋" w:hAnsi="仿宋" w:eastAsia="仿宋" w:cs="仿宋"/>
          <w:color w:val="000000"/>
          <w:sz w:val="32"/>
          <w:szCs w:val="32"/>
        </w:rPr>
        <w:t>“一网两微”运行委托业务费19万元，《以案说法》电视节目制作费35万元。</w:t>
      </w:r>
    </w:p>
    <w:p w14:paraId="1D7FC490">
      <w:pPr>
        <w:adjustRightInd w:val="0"/>
        <w:snapToGrid w:val="0"/>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sz w:val="32"/>
          <w:szCs w:val="32"/>
        </w:rPr>
        <w:t>（4）</w:t>
      </w:r>
      <w:r>
        <w:rPr>
          <w:rFonts w:hint="eastAsia" w:ascii="仿宋" w:hAnsi="仿宋" w:eastAsia="仿宋" w:cs="仿宋"/>
          <w:bCs/>
          <w:sz w:val="32"/>
          <w:szCs w:val="32"/>
        </w:rPr>
        <w:t>司法统一考试</w:t>
      </w:r>
      <w:r>
        <w:rPr>
          <w:rFonts w:hint="eastAsia" w:ascii="仿宋" w:hAnsi="仿宋" w:eastAsia="仿宋" w:cs="仿宋"/>
          <w:sz w:val="32"/>
          <w:szCs w:val="32"/>
        </w:rPr>
        <w:t>：2</w:t>
      </w:r>
      <w:r>
        <w:rPr>
          <w:rFonts w:hint="eastAsia" w:ascii="仿宋" w:hAnsi="仿宋" w:eastAsia="仿宋" w:cs="仿宋"/>
          <w:color w:val="000000"/>
          <w:sz w:val="32"/>
          <w:szCs w:val="32"/>
        </w:rPr>
        <w:t>018年决算数为0.5万元，其中：差旅费0.5万元。</w:t>
      </w:r>
    </w:p>
    <w:p w14:paraId="312B5976">
      <w:pPr>
        <w:adjustRightInd w:val="0"/>
        <w:snapToGrid w:val="0"/>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bCs/>
          <w:sz w:val="32"/>
          <w:szCs w:val="32"/>
        </w:rPr>
        <w:t>（5）法律援助：</w:t>
      </w:r>
      <w:r>
        <w:rPr>
          <w:rFonts w:hint="eastAsia" w:ascii="仿宋" w:hAnsi="仿宋" w:eastAsia="仿宋" w:cs="仿宋"/>
          <w:color w:val="000000"/>
          <w:sz w:val="32"/>
          <w:szCs w:val="32"/>
        </w:rPr>
        <w:t>法律援助办案劳务费5万元，“12348”服务热线项目7.68万元。</w:t>
      </w:r>
    </w:p>
    <w:p w14:paraId="34B98E4A">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（6）法制建设：差旅费12.5万元，会议费2.18万元，观音湖保护条例等立法工作2.8万元，建设法治政府工作13.20万元。</w:t>
      </w:r>
    </w:p>
    <w:p w14:paraId="2E230993">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bCs/>
          <w:sz w:val="32"/>
          <w:szCs w:val="32"/>
        </w:rPr>
        <w:t>（7）其他司法支出</w:t>
      </w:r>
      <w:r>
        <w:rPr>
          <w:rFonts w:hint="eastAsia" w:ascii="仿宋" w:hAnsi="仿宋" w:eastAsia="仿宋" w:cs="仿宋"/>
          <w:sz w:val="32"/>
          <w:szCs w:val="32"/>
        </w:rPr>
        <w:t>：</w:t>
      </w:r>
      <w:r>
        <w:rPr>
          <w:rFonts w:hint="eastAsia" w:ascii="仿宋" w:hAnsi="仿宋" w:eastAsia="仿宋" w:cs="仿宋"/>
          <w:color w:val="000000"/>
          <w:sz w:val="32"/>
          <w:szCs w:val="32"/>
        </w:rPr>
        <w:t>医患纠纷调解劳务费9万元。</w:t>
      </w:r>
    </w:p>
    <w:p w14:paraId="4C18DFE3">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3542959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 w:hAnsi="仿宋" w:eastAsia="仿宋" w:cs="仿宋"/>
          <w:color w:val="000000" w:themeColor="text1"/>
          <w:kern w:val="0"/>
          <w:sz w:val="32"/>
          <w:szCs w:val="32"/>
          <w:shd w:val="clear" w:color="auto" w:fill="FFFFFF"/>
          <w:lang w:val="zh-CN"/>
        </w:rPr>
      </w:pPr>
      <w:r>
        <w:rPr>
          <w:rFonts w:hint="eastAsia" w:ascii="仿宋" w:hAnsi="仿宋" w:eastAsia="仿宋" w:cs="仿宋"/>
          <w:color w:val="000000" w:themeColor="text1"/>
          <w:kern w:val="0"/>
          <w:sz w:val="32"/>
          <w:szCs w:val="32"/>
          <w:shd w:val="clear" w:color="auto" w:fill="FFFFFF"/>
          <w:lang w:val="zh-CN"/>
        </w:rPr>
        <w:t>（一）部门预算管理。</w:t>
      </w:r>
    </w:p>
    <w:p w14:paraId="17753480">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kern w:val="0"/>
          <w:sz w:val="32"/>
          <w:szCs w:val="32"/>
          <w:shd w:val="clear" w:color="auto" w:fill="FFFFFF"/>
          <w:lang w:val="zh-CN"/>
        </w:rPr>
      </w:pPr>
      <w:r>
        <w:rPr>
          <w:rFonts w:hint="eastAsia" w:ascii="仿宋" w:hAnsi="仿宋" w:eastAsia="仿宋" w:cs="仿宋"/>
          <w:color w:val="000000" w:themeColor="text1"/>
          <w:kern w:val="0"/>
          <w:sz w:val="32"/>
          <w:szCs w:val="32"/>
          <w:shd w:val="clear" w:color="auto" w:fill="FFFFFF"/>
          <w:lang w:val="zh-CN"/>
        </w:rPr>
        <w:t>（</w:t>
      </w:r>
      <w:r>
        <w:rPr>
          <w:rFonts w:hint="eastAsia" w:ascii="仿宋" w:hAnsi="仿宋" w:eastAsia="仿宋" w:cs="仿宋"/>
          <w:color w:val="000000" w:themeColor="text1"/>
          <w:kern w:val="0"/>
          <w:sz w:val="32"/>
          <w:szCs w:val="32"/>
          <w:shd w:val="clear" w:color="auto" w:fill="FFFFFF"/>
          <w:lang w:val="en-US" w:eastAsia="zh-CN"/>
        </w:rPr>
        <w:t>1</w:t>
      </w:r>
      <w:r>
        <w:rPr>
          <w:rFonts w:hint="eastAsia" w:ascii="仿宋" w:hAnsi="仿宋" w:eastAsia="仿宋" w:cs="仿宋"/>
          <w:color w:val="000000" w:themeColor="text1"/>
          <w:kern w:val="0"/>
          <w:sz w:val="32"/>
          <w:szCs w:val="32"/>
          <w:shd w:val="clear" w:color="auto" w:fill="FFFFFF"/>
          <w:lang w:val="zh-CN"/>
        </w:rPr>
        <w:t>）预算编制情况。</w:t>
      </w:r>
    </w:p>
    <w:p w14:paraId="4D460C9E">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1.预算编制质量。</w:t>
      </w:r>
      <w:r>
        <w:rPr>
          <w:rFonts w:hint="eastAsia" w:ascii="仿宋" w:hAnsi="仿宋" w:eastAsia="仿宋" w:cs="仿宋"/>
          <w:color w:val="000000" w:themeColor="text1"/>
          <w:sz w:val="32"/>
          <w:szCs w:val="32"/>
          <w:shd w:val="clear" w:color="auto" w:fill="FFFFFF"/>
        </w:rPr>
        <w:t>市司法局预算严格按照单位职责职能范围和</w:t>
      </w:r>
      <w:r>
        <w:rPr>
          <w:rFonts w:hint="eastAsia" w:ascii="仿宋" w:hAnsi="仿宋" w:eastAsia="仿宋" w:cs="仿宋"/>
          <w:color w:val="000000" w:themeColor="text1"/>
          <w:sz w:val="32"/>
          <w:szCs w:val="32"/>
        </w:rPr>
        <w:t>市财政局下达的预算控制数，结合近年来单位的实际支出情况及当年的工作需要，编制并按时报送了本部门2019年的财政预算。全年财政预算资金</w:t>
      </w:r>
      <w:r>
        <w:rPr>
          <w:rFonts w:hint="eastAsia" w:ascii="仿宋" w:hAnsi="仿宋" w:eastAsia="仿宋" w:cs="仿宋"/>
          <w:color w:val="000000" w:themeColor="text1"/>
          <w:sz w:val="32"/>
          <w:szCs w:val="32"/>
          <w:shd w:val="clear" w:color="auto" w:fill="FFFFFF"/>
        </w:rPr>
        <w:t>进行了精准管理，优化支出结构，做到项目资金安排及时到位</w:t>
      </w:r>
      <w:r>
        <w:rPr>
          <w:rFonts w:hint="eastAsia" w:ascii="仿宋" w:hAnsi="仿宋" w:eastAsia="仿宋" w:cs="仿宋"/>
          <w:color w:val="000000" w:themeColor="text1"/>
          <w:sz w:val="32"/>
          <w:szCs w:val="32"/>
        </w:rPr>
        <w:t>，未出现年末预算资金不足的情况。</w:t>
      </w:r>
    </w:p>
    <w:p w14:paraId="03ABF977">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2.绩效目标填报。市司法局按照预算资金绩效管理的要求，制度了年度资金安排计划，绩效目标任务按质按量完成，</w:t>
      </w:r>
      <w:r>
        <w:rPr>
          <w:rFonts w:hint="eastAsia" w:ascii="仿宋" w:hAnsi="仿宋" w:eastAsia="仿宋" w:cs="仿宋"/>
          <w:color w:val="000000" w:themeColor="text1"/>
          <w:sz w:val="32"/>
          <w:szCs w:val="32"/>
          <w:shd w:val="clear" w:color="auto" w:fill="FFFFFF"/>
        </w:rPr>
        <w:t>绩效目标填报准确及时</w:t>
      </w:r>
      <w:r>
        <w:rPr>
          <w:rFonts w:hint="eastAsia" w:ascii="仿宋" w:hAnsi="仿宋" w:eastAsia="仿宋" w:cs="仿宋"/>
          <w:color w:val="000000" w:themeColor="text1"/>
          <w:sz w:val="32"/>
          <w:szCs w:val="32"/>
        </w:rPr>
        <w:t>。</w:t>
      </w:r>
    </w:p>
    <w:p w14:paraId="5F8D14E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shd w:val="clear" w:color="auto" w:fill="FFFFFF"/>
          <w:lang w:val="zh-CN"/>
        </w:rPr>
      </w:pPr>
      <w:r>
        <w:rPr>
          <w:rFonts w:hint="eastAsia" w:ascii="仿宋" w:hAnsi="仿宋" w:eastAsia="仿宋" w:cs="仿宋"/>
          <w:color w:val="000000" w:themeColor="text1"/>
          <w:sz w:val="32"/>
          <w:szCs w:val="32"/>
          <w:shd w:val="clear" w:color="auto" w:fill="FFFFFF"/>
        </w:rPr>
        <w:t>3.中央和省级政法转移资金下拨及时到位，专项转移支付资金及时下拨到各区县，各级转移支付资金使用按照工作实际需要分项目编制。</w:t>
      </w:r>
    </w:p>
    <w:p w14:paraId="6E3DB752">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kern w:val="0"/>
          <w:sz w:val="32"/>
          <w:szCs w:val="32"/>
          <w:shd w:val="clear" w:color="auto" w:fill="FFFFFF"/>
          <w:lang w:val="zh-CN"/>
        </w:rPr>
      </w:pPr>
      <w:r>
        <w:rPr>
          <w:rFonts w:hint="eastAsia" w:ascii="仿宋" w:hAnsi="仿宋" w:eastAsia="仿宋" w:cs="仿宋"/>
          <w:color w:val="000000" w:themeColor="text1"/>
          <w:kern w:val="0"/>
          <w:sz w:val="32"/>
          <w:szCs w:val="32"/>
          <w:shd w:val="clear" w:color="auto" w:fill="FFFFFF"/>
          <w:lang w:val="zh-CN"/>
        </w:rPr>
        <w:t>（</w:t>
      </w:r>
      <w:r>
        <w:rPr>
          <w:rFonts w:hint="eastAsia" w:ascii="仿宋" w:hAnsi="仿宋" w:eastAsia="仿宋" w:cs="仿宋"/>
          <w:color w:val="000000" w:themeColor="text1"/>
          <w:kern w:val="0"/>
          <w:sz w:val="32"/>
          <w:szCs w:val="32"/>
          <w:shd w:val="clear" w:color="auto" w:fill="FFFFFF"/>
          <w:lang w:val="en-US" w:eastAsia="zh-CN"/>
        </w:rPr>
        <w:t>2</w:t>
      </w:r>
      <w:r>
        <w:rPr>
          <w:rFonts w:hint="eastAsia" w:ascii="仿宋" w:hAnsi="仿宋" w:eastAsia="仿宋" w:cs="仿宋"/>
          <w:color w:val="000000" w:themeColor="text1"/>
          <w:kern w:val="0"/>
          <w:sz w:val="32"/>
          <w:szCs w:val="32"/>
          <w:shd w:val="clear" w:color="auto" w:fill="FFFFFF"/>
          <w:lang w:val="zh-CN"/>
        </w:rPr>
        <w:t>）执行管理情况。</w:t>
      </w:r>
      <w:r>
        <w:rPr>
          <w:rFonts w:hint="eastAsia" w:ascii="仿宋" w:hAnsi="仿宋" w:eastAsia="仿宋" w:cs="仿宋"/>
          <w:color w:val="000000" w:themeColor="text1"/>
          <w:kern w:val="0"/>
          <w:sz w:val="32"/>
          <w:szCs w:val="32"/>
          <w:shd w:val="clear" w:color="auto" w:fill="FFFFFF"/>
          <w:lang w:val="zh-CN"/>
        </w:rPr>
        <w:tab/>
      </w:r>
    </w:p>
    <w:p w14:paraId="42D24016">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lang w:val="en-US" w:eastAsia="zh-CN"/>
        </w:rPr>
        <w:t>1、</w:t>
      </w:r>
      <w:r>
        <w:rPr>
          <w:rFonts w:hint="eastAsia" w:ascii="仿宋" w:hAnsi="仿宋" w:eastAsia="仿宋" w:cs="仿宋"/>
          <w:color w:val="000000" w:themeColor="text1"/>
          <w:sz w:val="32"/>
          <w:szCs w:val="32"/>
          <w:shd w:val="clear" w:color="auto" w:fill="FFFFFF"/>
        </w:rPr>
        <w:t>市司法局部门预算执行情况良好，市级部门专项经费到位及时，预算分配时限合理。中省转移支付资金分配合规率高。</w:t>
      </w:r>
      <w:r>
        <w:rPr>
          <w:rFonts w:hint="eastAsia" w:ascii="仿宋" w:hAnsi="仿宋" w:eastAsia="仿宋" w:cs="仿宋"/>
          <w:color w:val="000000" w:themeColor="text1"/>
          <w:sz w:val="32"/>
          <w:szCs w:val="32"/>
        </w:rPr>
        <w:t>中期自行评估后，加大了预算执行力度，</w:t>
      </w:r>
      <w:r>
        <w:rPr>
          <w:rFonts w:hint="eastAsia" w:ascii="仿宋" w:hAnsi="仿宋" w:eastAsia="仿宋" w:cs="仿宋"/>
          <w:color w:val="000000" w:themeColor="text1"/>
          <w:sz w:val="32"/>
          <w:szCs w:val="32"/>
          <w:shd w:val="clear" w:color="auto" w:fill="FFFFFF"/>
        </w:rPr>
        <w:t>部门预算执行进度按照市财政要求进行，</w:t>
      </w:r>
      <w:r>
        <w:rPr>
          <w:rFonts w:hint="eastAsia" w:ascii="仿宋" w:hAnsi="仿宋" w:eastAsia="仿宋" w:cs="仿宋"/>
          <w:color w:val="000000" w:themeColor="text1"/>
          <w:sz w:val="32"/>
          <w:szCs w:val="32"/>
        </w:rPr>
        <w:t>基本支出预算达到了均衡预算支出的目标，项目支出预算执行进度基本实现预定目标。</w:t>
      </w:r>
    </w:p>
    <w:p w14:paraId="7BB259E7">
      <w:pPr>
        <w:pStyle w:val="1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rPr>
        <w:t>单位</w:t>
      </w:r>
      <w:r>
        <w:rPr>
          <w:rFonts w:hint="eastAsia" w:ascii="仿宋" w:hAnsi="仿宋" w:eastAsia="仿宋" w:cs="仿宋"/>
          <w:color w:val="000000" w:themeColor="text1"/>
          <w:sz w:val="32"/>
          <w:szCs w:val="32"/>
          <w:shd w:val="clear" w:color="auto" w:fill="FFFFFF"/>
        </w:rPr>
        <w:t>节能降耗工作情况。</w:t>
      </w:r>
      <w:r>
        <w:rPr>
          <w:rFonts w:hint="eastAsia" w:ascii="仿宋" w:hAnsi="仿宋" w:eastAsia="仿宋" w:cs="仿宋"/>
          <w:color w:val="000000" w:themeColor="text1"/>
          <w:sz w:val="32"/>
          <w:szCs w:val="32"/>
        </w:rPr>
        <w:t>我局从节约做起，堵塞浪费漏洞。加强用设备管理，整改老化的电路，完成办公室及会议室LED节能灯的改造，实施节能燃气灶具的改造，同时。要求全体干部职工养成随手关灯、关水、关电脑、关电源的良好习惯。在办公区域安放可回收物、其他垃圾、有害垃圾3个垃圾分类回收桶，提高了干部职工环保意识和分类观念。充分发挥办公自动化优势，有效利用电子公文传输系统收发和办理文件，严格控制纸质文件印刷数量，尽量在电子媒介上修改文稿，减少出清样次数。办公用纸双面打印或重复利用，草拟文件一律使用单面废弃纸张起草，推行无纸化办公。每年年初制定采购计划，逐步规范办公用品设施的配备、采购和领用管理，提倡修旧利废，严格控制办公用品的使用量。打印机、复印机的里粉用完后，重新灌装，重复使用，促进办公用品的高效利用和循环利用。</w:t>
      </w:r>
    </w:p>
    <w:p w14:paraId="7CCFA5FD">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shd w:val="clear" w:color="auto" w:fill="FFFFFF"/>
          <w:lang w:val="zh-CN"/>
        </w:rPr>
      </w:pP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“三公”经费预算执行情况。2019年度“三公”经费财政拨款支出决算为14.45万元，完成预算60.46%，其中：</w:t>
      </w:r>
      <w:r>
        <w:rPr>
          <w:rFonts w:hint="eastAsia" w:ascii="仿宋" w:hAnsi="仿宋" w:eastAsia="仿宋" w:cs="仿宋"/>
          <w:bCs/>
          <w:color w:val="000000" w:themeColor="text1"/>
          <w:sz w:val="32"/>
          <w:szCs w:val="32"/>
        </w:rPr>
        <w:t>公务用车运行维护费支出</w:t>
      </w:r>
      <w:r>
        <w:rPr>
          <w:rFonts w:hint="eastAsia" w:ascii="仿宋" w:hAnsi="仿宋" w:eastAsia="仿宋" w:cs="仿宋"/>
          <w:color w:val="000000" w:themeColor="text1"/>
          <w:sz w:val="32"/>
          <w:szCs w:val="32"/>
        </w:rPr>
        <w:t>12.89万元。主要用于保障局机关执行公务活动、开展基层工作调研、普法宣传工作、实施司法监督检查、开展“八项实事”等工作所需的公务用车燃料费、维修费、过路过桥费、保险费等支出；</w:t>
      </w:r>
      <w:r>
        <w:rPr>
          <w:rFonts w:hint="eastAsia" w:ascii="仿宋" w:hAnsi="仿宋" w:eastAsia="仿宋" w:cs="仿宋"/>
          <w:bCs/>
          <w:color w:val="000000" w:themeColor="text1"/>
          <w:sz w:val="32"/>
          <w:szCs w:val="32"/>
        </w:rPr>
        <w:t>公务接待费支出</w:t>
      </w:r>
      <w:r>
        <w:rPr>
          <w:rFonts w:hint="eastAsia" w:ascii="仿宋" w:hAnsi="仿宋" w:eastAsia="仿宋" w:cs="仿宋"/>
          <w:color w:val="000000" w:themeColor="text1"/>
          <w:sz w:val="32"/>
          <w:szCs w:val="32"/>
        </w:rPr>
        <w:t>1.55万元。主要用于执行公务、开展业务活动开支的交通费、住宿费、用餐费等。</w:t>
      </w:r>
    </w:p>
    <w:p w14:paraId="693B74A6">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kern w:val="0"/>
          <w:sz w:val="32"/>
          <w:szCs w:val="32"/>
          <w:shd w:val="clear" w:color="auto" w:fill="FFFFFF"/>
          <w:lang w:val="zh-CN"/>
        </w:rPr>
      </w:pPr>
      <w:r>
        <w:rPr>
          <w:rFonts w:hint="eastAsia" w:ascii="仿宋" w:hAnsi="仿宋" w:eastAsia="仿宋" w:cs="仿宋"/>
          <w:color w:val="000000" w:themeColor="text1"/>
          <w:kern w:val="0"/>
          <w:sz w:val="32"/>
          <w:szCs w:val="32"/>
          <w:shd w:val="clear" w:color="auto" w:fill="FFFFFF"/>
          <w:lang w:val="zh-CN"/>
        </w:rPr>
        <w:t>（三）综合管理情况。</w:t>
      </w:r>
    </w:p>
    <w:p w14:paraId="2C60D6EE">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w:t>
      </w:r>
      <w:r>
        <w:rPr>
          <w:rFonts w:hint="eastAsia" w:ascii="仿宋" w:hAnsi="仿宋" w:eastAsia="仿宋" w:cs="仿宋"/>
          <w:color w:val="000000" w:themeColor="text1"/>
          <w:sz w:val="32"/>
          <w:szCs w:val="32"/>
        </w:rPr>
        <w:t>市司法局无政府性债务、无非税收入。</w:t>
      </w:r>
    </w:p>
    <w:p w14:paraId="51EA6FC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2）政府采购管理工作。我局根据批准的政府采购预算并结合本单位的工作实际，在编制下一财政年度预算时，就将该财政年度的政府采购项目及资金列出，编制政府采购预算，随同年度预算上报市财政局，按预算管理权限和程序批准后执行。</w:t>
      </w:r>
    </w:p>
    <w:p w14:paraId="65567A0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3）资产管理工作。我局由办公室负责资产使用监督管理，装备财务保障科负责进行资产登记和账务管理，各科室具体对本科室的资产使用、保管管理，科室负责人是资产使用、保管的第一责任人，资产管理逐步走上制度化、规范化和法制化轨道。装备财务保障科对每年新增固定资产及时入账，在资产系统进行资产登记工作，形成固定资产卡片，每年的资产报表在本单位门户网站及政府信息公开网进行公开。</w:t>
      </w:r>
    </w:p>
    <w:p w14:paraId="4B00D7BC">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（4）单位内控制度。我局</w:t>
      </w:r>
      <w:r>
        <w:rPr>
          <w:rFonts w:hint="eastAsia" w:ascii="仿宋" w:hAnsi="仿宋" w:eastAsia="仿宋" w:cs="仿宋"/>
          <w:color w:val="000000" w:themeColor="text1"/>
          <w:sz w:val="32"/>
          <w:szCs w:val="32"/>
        </w:rPr>
        <w:t>对经济和业务活动的决策、执行、监督，实行了明确分工、相互分离、分别行权，对涉及经济和业务活动的相关岗位，实行了依职定岗、分岗定权、权责明确，分级授权，定期轮岗，</w:t>
      </w:r>
      <w:r>
        <w:rPr>
          <w:rFonts w:hint="eastAsia" w:ascii="仿宋" w:hAnsi="仿宋" w:eastAsia="仿宋" w:cs="仿宋"/>
          <w:color w:val="000000" w:themeColor="text1"/>
          <w:sz w:val="32"/>
          <w:szCs w:val="32"/>
          <w:shd w:val="clear" w:color="auto" w:fill="FFFFFF"/>
        </w:rPr>
        <w:t>适用于</w:t>
      </w:r>
      <w:r>
        <w:rPr>
          <w:rFonts w:hint="eastAsia" w:ascii="仿宋" w:hAnsi="仿宋" w:eastAsia="仿宋" w:cs="仿宋"/>
          <w:color w:val="000000" w:themeColor="text1"/>
          <w:sz w:val="32"/>
          <w:szCs w:val="32"/>
        </w:rPr>
        <w:t>预算业务管理、收支业务管理、政府采购业务管理、资产管理、建设项目管理、合同管理等方面，通过内部控制建设，重新审视和梳理了现行的各项管理制度，进一步创新了管理机制，强化、优化管理措施，提高了及时发现和有效处置风险的能力，破解存在的内部监管薄弱问题，全面提升内部管理水平。</w:t>
      </w:r>
    </w:p>
    <w:p w14:paraId="264C5C2A">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（5）信息公开。市司法局每年的部门预决算和“三公”经费收支情况均在市政务公开网站和局门户网站进行了公开，自觉接受群众监督。</w:t>
      </w:r>
    </w:p>
    <w:p w14:paraId="3AC9B1F1">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 w:hAnsi="仿宋" w:eastAsia="仿宋" w:cs="仿宋"/>
          <w:color w:val="000000" w:themeColor="text1"/>
          <w:kern w:val="0"/>
          <w:sz w:val="32"/>
          <w:szCs w:val="32"/>
          <w:shd w:val="clear" w:color="auto" w:fill="FFFFFF"/>
          <w:lang w:val="zh-CN"/>
        </w:rPr>
      </w:pPr>
      <w:r>
        <w:rPr>
          <w:rFonts w:hint="eastAsia" w:ascii="仿宋" w:hAnsi="仿宋" w:eastAsia="仿宋" w:cs="仿宋"/>
          <w:color w:val="000000" w:themeColor="text1"/>
          <w:kern w:val="0"/>
          <w:sz w:val="32"/>
          <w:szCs w:val="32"/>
          <w:shd w:val="clear" w:color="auto" w:fill="FFFFFF"/>
          <w:lang w:val="zh-CN"/>
        </w:rPr>
        <w:t>（二）结果应用情况。</w:t>
      </w:r>
    </w:p>
    <w:p w14:paraId="77B63064">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1、重点项目绩效评价结果。2019年，按照我局工作职责职能和项目支出绩效评价体系的要求，</w:t>
      </w:r>
      <w:r>
        <w:rPr>
          <w:rFonts w:hint="eastAsia" w:ascii="仿宋" w:hAnsi="仿宋" w:eastAsia="仿宋" w:cs="仿宋"/>
          <w:color w:val="000000" w:themeColor="text1"/>
          <w:sz w:val="32"/>
          <w:szCs w:val="32"/>
        </w:rPr>
        <w:t>我局绩效专项目标全部开展绩效监控。以项目完成数量为核心，评价项目实际完成情况与预期绩效目标偏离度，单个数量指标实际完成达到预期指标或超过预期指标30%以上的项目资金有15个专项</w:t>
      </w:r>
      <w:r>
        <w:rPr>
          <w:rFonts w:hint="eastAsia" w:ascii="仿宋" w:hAnsi="仿宋" w:eastAsia="仿宋" w:cs="仿宋"/>
          <w:color w:val="000000" w:themeColor="text1"/>
          <w:sz w:val="32"/>
          <w:szCs w:val="32"/>
          <w:shd w:val="clear" w:color="auto" w:fill="FFFFFF"/>
        </w:rPr>
        <w:t>，</w:t>
      </w:r>
      <w:r>
        <w:rPr>
          <w:rFonts w:hint="eastAsia" w:ascii="仿宋" w:hAnsi="仿宋" w:eastAsia="仿宋" w:cs="仿宋"/>
          <w:color w:val="000000" w:themeColor="text1"/>
          <w:sz w:val="32"/>
          <w:szCs w:val="32"/>
        </w:rPr>
        <w:t>从项目完成、项目效益、满意度等方面设置了绩效指标，综合反映项目预期完成的数量、成本、时效、质量，均预期达到了良好的社会效益、可持续影响，服务对象满意度高。</w:t>
      </w:r>
    </w:p>
    <w:p w14:paraId="3BE6A65F">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绩效目标偏离项目3个：派驻纪检组专项经费（办案经费）指对本单位自身案件办理过程中发生的费用。截止2019年年底，我局无自身案件，故项目经费零支出；2019年的行政争议化解案件和涉法事务审查案件均由单位在职人员承办，未聘请专家及法律服务团队提供服务，故两笔项目经费零支出。</w:t>
      </w:r>
    </w:p>
    <w:p w14:paraId="17CE5FEE">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2、职能完成情况。</w:t>
      </w:r>
    </w:p>
    <w:p w14:paraId="23CDBAF3">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kern w:val="0"/>
          <w:sz w:val="32"/>
          <w:szCs w:val="32"/>
          <w:shd w:val="clear" w:color="auto" w:fill="FFFFFF"/>
          <w:lang w:val="zh-CN"/>
        </w:rPr>
      </w:pPr>
      <w:r>
        <w:rPr>
          <w:rFonts w:hint="eastAsia" w:ascii="仿宋" w:hAnsi="仿宋" w:eastAsia="仿宋" w:cs="仿宋"/>
          <w:bCs/>
          <w:color w:val="000000" w:themeColor="text1"/>
          <w:sz w:val="32"/>
          <w:szCs w:val="32"/>
        </w:rPr>
        <w:t>一是</w:t>
      </w:r>
      <w:r>
        <w:rPr>
          <w:rFonts w:hint="eastAsia" w:ascii="仿宋" w:hAnsi="仿宋" w:eastAsia="仿宋" w:cs="仿宋"/>
          <w:color w:val="000000" w:themeColor="text1"/>
          <w:sz w:val="32"/>
          <w:szCs w:val="32"/>
        </w:rPr>
        <w:t>聚焦四大关键抓普法，营造浓厚法治氛围</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起草印发了《遂宁市法治宣传教育第七个五年规划（2016—2020年）》，筹备召开了 “遂宁市‘七五’普法动员暨‘法律七进’推进电视电话会议”，加大普法宣传力度</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拓宽领域，加强普法阵地建设</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落实责任，规范普法宣传制度</w:t>
      </w:r>
      <w:r>
        <w:rPr>
          <w:rFonts w:hint="eastAsia" w:ascii="仿宋" w:hAnsi="仿宋" w:eastAsia="仿宋" w:cs="仿宋"/>
          <w:bCs/>
          <w:color w:val="000000" w:themeColor="text1"/>
          <w:sz w:val="32"/>
          <w:szCs w:val="32"/>
        </w:rPr>
        <w:t>。二是</w:t>
      </w:r>
      <w:r>
        <w:rPr>
          <w:rFonts w:hint="eastAsia" w:ascii="仿宋" w:hAnsi="仿宋" w:eastAsia="仿宋" w:cs="仿宋"/>
          <w:color w:val="000000" w:themeColor="text1"/>
          <w:sz w:val="32"/>
          <w:szCs w:val="32"/>
        </w:rPr>
        <w:t>深化三项改革谋发展，做优法律援助，办好民生工程；做优律师公证，助力法律服务行业全面发展。</w:t>
      </w:r>
      <w:r>
        <w:rPr>
          <w:rFonts w:hint="eastAsia" w:ascii="仿宋" w:hAnsi="仿宋" w:eastAsia="仿宋" w:cs="仿宋"/>
          <w:bCs/>
          <w:color w:val="000000" w:themeColor="text1"/>
          <w:sz w:val="32"/>
          <w:szCs w:val="32"/>
        </w:rPr>
        <w:t>三是</w:t>
      </w:r>
      <w:r>
        <w:rPr>
          <w:rFonts w:hint="eastAsia" w:ascii="仿宋" w:hAnsi="仿宋" w:eastAsia="仿宋" w:cs="仿宋"/>
          <w:color w:val="000000" w:themeColor="text1"/>
          <w:sz w:val="32"/>
          <w:szCs w:val="32"/>
        </w:rPr>
        <w:t>加快司法所规范化建设步伐，制定出台了《关于加强遂宁市司法所规范化建设工作的实施方案》；切实有力推进人民调解。有力推动“公调对接”工作，印发了《关于建立完善人民调解与治安调解对接制度的实施方案》；健全完善社区矫正机制，完善“一对一”、“多帮一”的社区服刑人员日常帮教机制，建立“4+X”矫正小组，制定了《遂宁市社区服刑人员分类管理实施办法（试行）》，实施重点社区服刑人员由县级司法行政机关负责人和司法所长“定人包案”制度。</w:t>
      </w:r>
      <w:r>
        <w:rPr>
          <w:rFonts w:hint="eastAsia" w:ascii="仿宋" w:hAnsi="仿宋" w:eastAsia="仿宋" w:cs="仿宋"/>
          <w:bCs/>
          <w:color w:val="000000" w:themeColor="text1"/>
          <w:sz w:val="32"/>
          <w:szCs w:val="32"/>
        </w:rPr>
        <w:t>四是</w:t>
      </w:r>
      <w:r>
        <w:rPr>
          <w:rFonts w:hint="eastAsia" w:ascii="仿宋" w:hAnsi="仿宋" w:eastAsia="仿宋" w:cs="仿宋"/>
          <w:color w:val="000000" w:themeColor="text1"/>
          <w:sz w:val="32"/>
          <w:szCs w:val="32"/>
        </w:rPr>
        <w:t>全面抓好班子和队伍建设，工作作风不断优化；倾情开展“扶贫帮困”</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大力推进信息化建设。</w:t>
      </w:r>
    </w:p>
    <w:p w14:paraId="2741676B">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39C2DF4F">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 w:hAnsi="仿宋" w:eastAsia="仿宋" w:cs="仿宋"/>
          <w:color w:val="000000" w:themeColor="text1"/>
          <w:kern w:val="0"/>
          <w:sz w:val="32"/>
          <w:szCs w:val="32"/>
          <w:shd w:val="clear" w:color="auto" w:fill="FFFFFF"/>
          <w:lang w:val="zh-CN"/>
        </w:rPr>
      </w:pPr>
      <w:r>
        <w:rPr>
          <w:rFonts w:hint="eastAsia" w:ascii="仿宋" w:hAnsi="仿宋" w:eastAsia="仿宋" w:cs="仿宋"/>
          <w:color w:val="000000" w:themeColor="text1"/>
          <w:kern w:val="0"/>
          <w:sz w:val="32"/>
          <w:szCs w:val="32"/>
          <w:shd w:val="clear" w:color="auto" w:fill="FFFFFF"/>
          <w:lang w:val="zh-CN"/>
        </w:rPr>
        <w:t>（一）评价结论。</w:t>
      </w:r>
    </w:p>
    <w:p w14:paraId="31DD01EC">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lang w:val="zh-CN"/>
        </w:rPr>
      </w:pPr>
      <w:r>
        <w:rPr>
          <w:rFonts w:hint="eastAsia" w:ascii="仿宋" w:hAnsi="仿宋" w:eastAsia="仿宋" w:cs="仿宋"/>
          <w:color w:val="000000" w:themeColor="text1"/>
          <w:sz w:val="32"/>
          <w:szCs w:val="32"/>
        </w:rPr>
        <w:t>我局本着“以收定支，量入为出，保证重点，兼顾一般”的原则，使财政预算拨款更加切合实际；我局制定了资金管理、固定资产管理、财务内控制度等一系列财经制度，财务管理规范，资金监督考核严格，财务绩效明显，切实保障了资金使用合法合规，使财政资金充分其在司法工作保障中的积极作用。绩效监控的项目预期提供的产品、服务、效益目标明确细化，可衡量；绩效目标设定符合实际需求，合理可行；资金分配管理是否科学合理、规范有序，突出重点工作内容。</w:t>
      </w:r>
    </w:p>
    <w:p w14:paraId="494BD25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（二）存在问题。</w:t>
      </w:r>
    </w:p>
    <w:p w14:paraId="6FDB1CE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单位财务管理制度有待进一步完善，单位内控监管有待加强。</w:t>
      </w:r>
    </w:p>
    <w:p w14:paraId="1F7CE3A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shd w:val="clear" w:color="auto" w:fill="FFFFFF"/>
        </w:rPr>
        <w:t>（三）改进建议。</w:t>
      </w:r>
    </w:p>
    <w:p w14:paraId="5D07D058">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强化单位财务管理制度，加强预算管理和监督，提高经费使用的科学性和准确性。加强经费保障政策研究，积极探索建立经费保障的新机制。</w:t>
      </w:r>
    </w:p>
    <w:p w14:paraId="167DEAD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000000" w:themeColor="text1"/>
          <w:kern w:val="0"/>
          <w:sz w:val="32"/>
          <w:szCs w:val="32"/>
        </w:rPr>
      </w:pPr>
      <w:r>
        <w:rPr>
          <w:rFonts w:hint="eastAsia" w:ascii="仿宋" w:hAnsi="仿宋" w:eastAsia="仿宋" w:cs="仿宋"/>
          <w:color w:val="000000" w:themeColor="text1"/>
          <w:sz w:val="32"/>
          <w:szCs w:val="32"/>
          <w:shd w:val="clear" w:color="auto" w:fill="FFFFFF"/>
        </w:rPr>
        <w:t>增强内控意识，严格按照《会计法》和《内部会计控制基本规范》的规定，提高对本单位财务会计报告的真实性、完整性以及内部控制制度的合理性、有效性，针对行政事业单位的组织与管理特点对原有管理制度进行修改，从单位的实际情况出发，逐步完善财务内控制度，做到财务内部控制有章可循，不断增强行政事业单位的竞争力，有效提高其可持续发展的能力。 </w:t>
      </w:r>
    </w:p>
    <w:p w14:paraId="10D4AFED">
      <w:pPr>
        <w:rPr>
          <w:rFonts w:ascii="仿宋_GB2312" w:hAnsi="仿宋_GB2312" w:eastAsia="仿宋_GB2312" w:cs="仿宋_GB2312"/>
          <w:color w:val="000000" w:themeColor="text1"/>
          <w:sz w:val="32"/>
          <w:szCs w:val="32"/>
        </w:rPr>
      </w:pPr>
    </w:p>
    <w:p w14:paraId="28053ECE">
      <w:pPr>
        <w:rPr>
          <w:color w:val="000000" w:themeColor="text1"/>
        </w:rPr>
      </w:pPr>
    </w:p>
    <w:p w14:paraId="14E4A88F">
      <w:pPr>
        <w:pStyle w:val="2"/>
        <w:rPr>
          <w:color w:val="000000" w:themeColor="text1"/>
        </w:rPr>
      </w:pPr>
    </w:p>
    <w:p w14:paraId="138288F7">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24079928">
      <w:pPr>
        <w:spacing w:line="580" w:lineRule="exact"/>
        <w:ind w:firstLine="640" w:firstLineChars="200"/>
        <w:rPr>
          <w:rFonts w:ascii="仿宋_GB2312" w:hAnsi="仿宋_GB2312" w:eastAsia="仿宋_GB2312" w:cs="仿宋_GB2312"/>
          <w:sz w:val="32"/>
          <w:szCs w:val="32"/>
        </w:rPr>
      </w:pPr>
    </w:p>
    <w:p w14:paraId="144B4DC6">
      <w:pPr>
        <w:spacing w:line="600" w:lineRule="exact"/>
        <w:jc w:val="center"/>
        <w:rPr>
          <w:rFonts w:hint="eastAsia" w:ascii="黑体" w:hAnsi="黑体" w:eastAsia="黑体" w:cs="黑体"/>
          <w:color w:val="000000"/>
          <w:kern w:val="0"/>
          <w:sz w:val="44"/>
          <w:szCs w:val="44"/>
          <w:lang w:val="zh-CN"/>
        </w:rPr>
      </w:pPr>
      <w:r>
        <w:rPr>
          <w:rFonts w:hint="eastAsia" w:ascii="黑体" w:hAnsi="黑体" w:eastAsia="黑体" w:cs="黑体"/>
          <w:sz w:val="44"/>
          <w:szCs w:val="44"/>
        </w:rPr>
        <w:t>《以案说法》</w:t>
      </w:r>
      <w:r>
        <w:rPr>
          <w:rFonts w:hint="eastAsia" w:ascii="黑体" w:hAnsi="黑体" w:eastAsia="黑体" w:cs="黑体"/>
          <w:color w:val="000000"/>
          <w:sz w:val="44"/>
          <w:szCs w:val="44"/>
          <w:lang w:eastAsia="zh-CN"/>
        </w:rPr>
        <w:t>电视节目制作</w:t>
      </w:r>
      <w:r>
        <w:rPr>
          <w:rFonts w:hint="eastAsia" w:ascii="黑体" w:hAnsi="黑体" w:eastAsia="黑体" w:cs="黑体"/>
          <w:color w:val="000000"/>
          <w:kern w:val="0"/>
          <w:sz w:val="44"/>
          <w:szCs w:val="44"/>
          <w:lang w:val="zh-CN"/>
        </w:rPr>
        <w:t>项目</w:t>
      </w:r>
    </w:p>
    <w:p w14:paraId="31B1670B">
      <w:pPr>
        <w:spacing w:line="600" w:lineRule="exact"/>
        <w:jc w:val="center"/>
        <w:rPr>
          <w:rFonts w:hint="eastAsia" w:ascii="黑体" w:hAnsi="黑体" w:eastAsia="黑体" w:cs="黑体"/>
          <w:color w:val="000000"/>
          <w:kern w:val="0"/>
          <w:sz w:val="44"/>
          <w:szCs w:val="44"/>
          <w:lang w:val="zh-CN"/>
        </w:rPr>
      </w:pPr>
      <w:r>
        <w:rPr>
          <w:rFonts w:hint="eastAsia" w:ascii="黑体" w:hAnsi="黑体" w:eastAsia="黑体" w:cs="黑体"/>
          <w:color w:val="000000"/>
          <w:kern w:val="0"/>
          <w:sz w:val="44"/>
          <w:szCs w:val="44"/>
        </w:rPr>
        <w:t>2019年</w:t>
      </w:r>
      <w:r>
        <w:rPr>
          <w:rFonts w:hint="eastAsia" w:ascii="黑体" w:hAnsi="黑体" w:eastAsia="黑体" w:cs="黑体"/>
          <w:color w:val="000000"/>
          <w:kern w:val="0"/>
          <w:sz w:val="44"/>
          <w:szCs w:val="44"/>
          <w:lang w:val="zh-CN"/>
        </w:rPr>
        <w:t>绩效评价报告</w:t>
      </w:r>
    </w:p>
    <w:p w14:paraId="2F6A8036">
      <w:pPr>
        <w:spacing w:line="600" w:lineRule="exact"/>
        <w:rPr>
          <w:rFonts w:ascii="宋体" w:hAnsi="宋体"/>
          <w:sz w:val="32"/>
          <w:szCs w:val="32"/>
          <w:lang w:val="zh-CN"/>
        </w:rPr>
      </w:pPr>
    </w:p>
    <w:p w14:paraId="1FB61B97">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80B71C5">
      <w:pPr>
        <w:adjustRightInd w:val="0"/>
        <w:snapToGrid w:val="0"/>
        <w:spacing w:line="600" w:lineRule="exact"/>
        <w:ind w:firstLine="720"/>
        <w:rPr>
          <w:rFonts w:hint="eastAsia"/>
          <w:lang w:val="zh-CN"/>
        </w:rPr>
      </w:pPr>
      <w:r>
        <w:rPr>
          <w:rFonts w:hint="eastAsia" w:ascii="楷体_GB2312" w:hAnsi="宋体" w:eastAsia="楷体_GB2312"/>
          <w:b/>
          <w:sz w:val="32"/>
          <w:szCs w:val="32"/>
          <w:lang w:val="zh-CN"/>
        </w:rPr>
        <w:t>（一）项目基本情况。</w:t>
      </w:r>
    </w:p>
    <w:p w14:paraId="2937F99D">
      <w:pPr>
        <w:spacing w:line="580" w:lineRule="exact"/>
        <w:ind w:firstLine="640" w:firstLineChars="200"/>
        <w:rPr>
          <w:rFonts w:hint="eastAsia" w:ascii="仿宋" w:hAnsi="仿宋" w:eastAsia="仿宋" w:cs="仿宋"/>
          <w:sz w:val="32"/>
          <w:szCs w:val="32"/>
        </w:rPr>
      </w:pPr>
      <w:r>
        <w:rPr>
          <w:rFonts w:hint="eastAsia" w:ascii="仿宋_GB2312" w:hAnsi="仿宋" w:eastAsia="仿宋_GB2312"/>
          <w:sz w:val="32"/>
          <w:szCs w:val="32"/>
        </w:rPr>
        <w:t>2012年3月由遂宁市法制建设领导小组、市委宣传部、市委政法委主办，市司法局联合市文广局及节目制作参与单位，共同开办的普法专题电视节目《以案说法》。主要以我市老百姓身边的、典型鲜活的法治案例为载体，通过案件回放、当事人访谈、司法和行政执法单位解读、法律专家点评、主持人总结等形式，向广大干部群众宣传法治理念，普及法律知识。整个节目的定位是关注百姓身边发生的法律事件，报道百姓所关心关注的法律问题，努力为广大干部群众学法、知法、守法提供引导与服务；目的是要将法理性融入到故事情节之中，以案说法，普及法律知识，同时加强对政府行政执法、司法机关司法的过程进行监督。</w:t>
      </w:r>
    </w:p>
    <w:p w14:paraId="05ADBDE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6FB29DA7">
      <w:pPr>
        <w:spacing w:line="580" w:lineRule="exact"/>
        <w:ind w:firstLine="640" w:firstLineChars="200"/>
        <w:rPr>
          <w:rFonts w:ascii="仿宋" w:hAnsi="仿宋" w:eastAsia="仿宋" w:cs="仿宋_GB2312"/>
          <w:sz w:val="32"/>
          <w:szCs w:val="32"/>
        </w:rPr>
      </w:pPr>
      <w:r>
        <w:rPr>
          <w:rFonts w:hint="eastAsia" w:ascii="仿宋_GB2312" w:hAnsi="仿宋" w:eastAsia="仿宋_GB2312"/>
          <w:sz w:val="32"/>
          <w:szCs w:val="32"/>
        </w:rPr>
        <w:t>《以案说法》电视栏目</w:t>
      </w:r>
      <w:r>
        <w:rPr>
          <w:rFonts w:hint="eastAsia" w:ascii="仿宋_GB2312" w:hAnsi="仿宋" w:eastAsia="仿宋_GB2312"/>
          <w:sz w:val="32"/>
          <w:szCs w:val="32"/>
          <w:lang w:eastAsia="zh-CN"/>
        </w:rPr>
        <w:t>为了</w:t>
      </w:r>
      <w:r>
        <w:rPr>
          <w:rFonts w:hint="eastAsia" w:ascii="仿宋_GB2312" w:hAnsi="仿宋" w:eastAsia="仿宋_GB2312"/>
          <w:sz w:val="32"/>
          <w:szCs w:val="32"/>
        </w:rPr>
        <w:t>向广大干部群众宣传法治理念，普及法律知识。整个节目的定位是关注百姓身边发生的法律事件，报道百姓所关心关注的法律问题，努力为广大干部群众学法、知法、守法提供引导与服务。</w:t>
      </w:r>
    </w:p>
    <w:p w14:paraId="4F9FEAA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331233CE">
      <w:pPr>
        <w:spacing w:line="580" w:lineRule="exact"/>
        <w:ind w:firstLine="640" w:firstLineChars="200"/>
        <w:rPr>
          <w:lang w:val="zh-CN"/>
        </w:rPr>
      </w:pPr>
      <w:r>
        <w:rPr>
          <w:rFonts w:hint="eastAsia" w:ascii="仿宋_GB2312" w:hAnsi="仿宋" w:eastAsia="仿宋_GB2312"/>
          <w:sz w:val="32"/>
          <w:szCs w:val="32"/>
        </w:rPr>
        <w:t>我局从项目完成、项目效益、满意度等方面设置了绩效指标，由此展开项目绩效评价；综合反映了项目预期完成的数量、成本、时效、质量，均预期达到了良好的社会效益、可持续影响，群众满意度高。</w:t>
      </w:r>
    </w:p>
    <w:p w14:paraId="7D219BA9">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6CAC31D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2D00FA8B">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项目资金</w:t>
      </w:r>
      <w:r>
        <w:rPr>
          <w:rFonts w:hint="eastAsia" w:ascii="仿宋_GB2312" w:hAnsi="宋体" w:eastAsia="仿宋_GB2312"/>
          <w:sz w:val="32"/>
          <w:szCs w:val="32"/>
          <w:lang w:val="zh-CN" w:eastAsia="zh-CN"/>
        </w:rPr>
        <w:t>在</w:t>
      </w:r>
      <w:r>
        <w:rPr>
          <w:rFonts w:hint="eastAsia" w:ascii="仿宋_GB2312" w:hAnsi="宋体" w:eastAsia="仿宋_GB2312"/>
          <w:sz w:val="32"/>
          <w:szCs w:val="32"/>
          <w:lang w:val="en-US" w:eastAsia="zh-CN"/>
        </w:rPr>
        <w:t>2019年预算编制系统进行</w:t>
      </w:r>
      <w:r>
        <w:rPr>
          <w:rFonts w:hint="eastAsia" w:ascii="仿宋_GB2312" w:hAnsi="宋体" w:eastAsia="仿宋_GB2312"/>
          <w:sz w:val="32"/>
          <w:szCs w:val="32"/>
          <w:lang w:val="zh-CN"/>
        </w:rPr>
        <w:t>申报，项目资金批复及时，项目资金全额到位。</w:t>
      </w:r>
    </w:p>
    <w:p w14:paraId="57C3BF94">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1271BC78">
      <w:pPr>
        <w:adjustRightInd w:val="0"/>
        <w:snapToGrid w:val="0"/>
        <w:spacing w:line="600" w:lineRule="exact"/>
        <w:ind w:firstLine="720"/>
        <w:rPr>
          <w:rFonts w:hint="eastAsia" w:eastAsia="仿宋_GB2312"/>
          <w:lang w:val="zh-CN" w:eastAsia="zh-CN"/>
        </w:rPr>
      </w:pPr>
      <w:r>
        <w:rPr>
          <w:rFonts w:hint="eastAsia" w:ascii="楷体_GB2312" w:hAnsi="宋体" w:eastAsia="楷体_GB2312"/>
          <w:sz w:val="32"/>
          <w:szCs w:val="32"/>
          <w:lang w:val="zh-CN"/>
        </w:rPr>
        <w:t>1．资金计划。</w:t>
      </w:r>
      <w:r>
        <w:rPr>
          <w:rFonts w:hint="eastAsia" w:ascii="仿宋" w:hAnsi="仿宋" w:eastAsia="仿宋" w:cs="仿宋"/>
          <w:sz w:val="32"/>
          <w:szCs w:val="32"/>
        </w:rPr>
        <w:t>节目从2014年起划入市财政预算，每年</w:t>
      </w:r>
      <w:r>
        <w:rPr>
          <w:rFonts w:hint="eastAsia" w:ascii="仿宋" w:hAnsi="仿宋" w:eastAsia="仿宋" w:cs="仿宋"/>
          <w:sz w:val="32"/>
          <w:szCs w:val="32"/>
          <w:lang w:eastAsia="zh-CN"/>
        </w:rPr>
        <w:t>按照电视节目制作费用</w:t>
      </w:r>
      <w:r>
        <w:rPr>
          <w:rFonts w:hint="eastAsia" w:ascii="仿宋" w:hAnsi="仿宋" w:eastAsia="仿宋" w:cs="仿宋"/>
          <w:sz w:val="32"/>
          <w:szCs w:val="32"/>
        </w:rPr>
        <w:t>拨款</w:t>
      </w:r>
      <w:r>
        <w:rPr>
          <w:rFonts w:hint="eastAsia" w:ascii="仿宋" w:hAnsi="仿宋" w:eastAsia="仿宋" w:cs="仿宋"/>
          <w:sz w:val="32"/>
          <w:szCs w:val="32"/>
          <w:lang w:eastAsia="zh-CN"/>
        </w:rPr>
        <w:t>。</w:t>
      </w:r>
    </w:p>
    <w:p w14:paraId="11C206BA">
      <w:pPr>
        <w:adjustRightInd w:val="0"/>
        <w:snapToGrid w:val="0"/>
        <w:spacing w:line="600" w:lineRule="exact"/>
        <w:ind w:firstLine="720"/>
        <w:rPr>
          <w:rFonts w:hint="eastAsia" w:ascii="仿宋" w:hAnsi="仿宋" w:eastAsia="仿宋" w:cs="仿宋"/>
          <w:sz w:val="32"/>
          <w:szCs w:val="32"/>
          <w:lang w:val="zh-CN"/>
        </w:rPr>
      </w:pPr>
      <w:r>
        <w:rPr>
          <w:rFonts w:hint="eastAsia" w:ascii="楷体_GB2312" w:hAnsi="宋体" w:eastAsia="楷体_GB2312"/>
          <w:sz w:val="32"/>
          <w:szCs w:val="32"/>
          <w:lang w:val="zh-CN"/>
        </w:rPr>
        <w:t>2．资金到位。</w:t>
      </w:r>
      <w:r>
        <w:rPr>
          <w:rFonts w:hint="eastAsia" w:ascii="仿宋" w:hAnsi="仿宋" w:eastAsia="仿宋" w:cs="仿宋"/>
          <w:sz w:val="32"/>
          <w:szCs w:val="32"/>
          <w:lang w:val="zh-CN"/>
        </w:rPr>
        <w:t>项目资金每年按时全额拨付到位。</w:t>
      </w:r>
    </w:p>
    <w:p w14:paraId="5683F492">
      <w:pPr>
        <w:adjustRightInd w:val="0"/>
        <w:snapToGrid w:val="0"/>
        <w:spacing w:line="600" w:lineRule="exact"/>
        <w:ind w:firstLine="720"/>
        <w:rPr>
          <w:rFonts w:hint="eastAsia"/>
          <w:lang w:val="en-US" w:eastAsia="zh-CN"/>
        </w:rPr>
      </w:pPr>
      <w:r>
        <w:rPr>
          <w:rFonts w:hint="eastAsia" w:ascii="楷体_GB2312" w:hAnsi="宋体" w:eastAsia="楷体_GB2312"/>
          <w:sz w:val="32"/>
          <w:szCs w:val="32"/>
          <w:lang w:val="zh-CN"/>
        </w:rPr>
        <w:t>3．资金使用。</w:t>
      </w:r>
      <w:r>
        <w:rPr>
          <w:rFonts w:hint="eastAsia" w:ascii="仿宋_GB2312" w:hAnsi="仿宋" w:eastAsia="仿宋_GB2312"/>
          <w:sz w:val="32"/>
          <w:szCs w:val="32"/>
          <w:lang w:val="en-US" w:eastAsia="zh-CN"/>
        </w:rPr>
        <w:t xml:space="preserve"> </w:t>
      </w:r>
      <w:r>
        <w:rPr>
          <w:rFonts w:hint="eastAsia" w:ascii="仿宋" w:hAnsi="仿宋" w:eastAsia="仿宋" w:cs="仿宋"/>
          <w:sz w:val="32"/>
          <w:szCs w:val="32"/>
        </w:rPr>
        <w:t>项目资金由市司法局对其运行情况进行考核给付。</w:t>
      </w:r>
      <w:r>
        <w:rPr>
          <w:rFonts w:hint="eastAsia" w:ascii="仿宋" w:hAnsi="仿宋" w:eastAsia="仿宋" w:cs="仿宋"/>
          <w:color w:val="000000"/>
          <w:sz w:val="32"/>
          <w:szCs w:val="32"/>
        </w:rPr>
        <w:t>全年电视节目联办费用2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万/年（主要用于编辑记者人力成本及设备消耗维护费用）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节目摄制成本10万/年（包括素材收集费用、参考资料费用、打印复印费用、车旅费、误餐费及其它杂质，平均每期节目摄制成本2000元）</w:t>
      </w:r>
      <w:r>
        <w:rPr>
          <w:rFonts w:hint="eastAsia" w:ascii="仿宋" w:hAnsi="仿宋" w:eastAsia="仿宋" w:cs="仿宋"/>
          <w:color w:val="000000"/>
          <w:sz w:val="32"/>
          <w:szCs w:val="32"/>
          <w:lang w:eastAsia="zh-CN"/>
        </w:rPr>
        <w:t>。全年支付金额与预算金额相符，支付标准、支付进度、支付依据均合规合法。</w:t>
      </w:r>
    </w:p>
    <w:p w14:paraId="2ABEFC5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55A4E23D">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市司法局财务管理制度健全，严格执行财务管理制度，账务处理及时，会计核算规范严谨。</w:t>
      </w:r>
    </w:p>
    <w:p w14:paraId="378898CD">
      <w:pPr>
        <w:numPr>
          <w:ilvl w:val="0"/>
          <w:numId w:val="0"/>
        </w:numPr>
        <w:adjustRightInd w:val="0"/>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lang w:eastAsia="zh-CN"/>
        </w:rPr>
        <w:t>三、</w:t>
      </w:r>
      <w:r>
        <w:rPr>
          <w:rFonts w:hint="eastAsia" w:ascii="黑体" w:hAnsi="宋体" w:eastAsia="黑体"/>
          <w:sz w:val="32"/>
          <w:szCs w:val="32"/>
        </w:rPr>
        <w:t>项目实施及管理情况</w:t>
      </w:r>
    </w:p>
    <w:p w14:paraId="42C1E733">
      <w:pPr>
        <w:numPr>
          <w:ilvl w:val="0"/>
          <w:numId w:val="7"/>
        </w:numPr>
        <w:adjustRightInd w:val="0"/>
        <w:snapToGrid w:val="0"/>
        <w:spacing w:line="600" w:lineRule="exact"/>
        <w:ind w:left="640" w:left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14:paraId="733891C9">
      <w:pPr>
        <w:adjustRightInd w:val="0"/>
        <w:snapToGrid w:val="0"/>
        <w:spacing w:line="600" w:lineRule="exact"/>
        <w:ind w:firstLine="630" w:firstLineChars="300"/>
        <w:rPr>
          <w:rFonts w:hint="default" w:eastAsia="仿宋_GB2312"/>
          <w:lang w:val="en-US" w:eastAsia="zh-CN"/>
        </w:rPr>
      </w:pPr>
      <w:r>
        <w:rPr>
          <w:rFonts w:hint="eastAsia"/>
          <w:lang w:val="en-US" w:eastAsia="zh-CN"/>
        </w:rPr>
        <w:t xml:space="preserve"> </w:t>
      </w:r>
      <w:r>
        <w:rPr>
          <w:rFonts w:hint="eastAsia" w:ascii="仿宋_GB2312" w:hAnsi="仿宋" w:eastAsia="仿宋_GB2312"/>
          <w:sz w:val="32"/>
          <w:szCs w:val="32"/>
        </w:rPr>
        <w:t>电视台《以案说法》栏目组每年完成节目52期，节目每周二在遂宁电视台公共频道首播，在其他时段新闻频道、公共频道重播5次，每期节目上传至直播遂宁APP，法治遂宁网站等多个媒体进行播出。</w:t>
      </w:r>
    </w:p>
    <w:p w14:paraId="33ECD29B">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14:paraId="63C2BF27">
      <w:pPr>
        <w:adjustRightInd w:val="0"/>
        <w:snapToGrid w:val="0"/>
        <w:spacing w:line="600" w:lineRule="exact"/>
        <w:ind w:firstLine="720"/>
        <w:rPr>
          <w:rFonts w:hint="eastAsia" w:ascii="仿宋_GB2312" w:hAnsi="仿宋" w:eastAsia="仿宋_GB2312"/>
          <w:sz w:val="32"/>
          <w:szCs w:val="32"/>
        </w:rPr>
      </w:pPr>
      <w:r>
        <w:rPr>
          <w:rFonts w:hint="eastAsia" w:ascii="楷体_GB2312" w:hAnsi="宋体" w:eastAsia="楷体_GB2312"/>
          <w:b/>
          <w:sz w:val="32"/>
          <w:szCs w:val="32"/>
          <w:lang w:val="zh-CN"/>
        </w:rPr>
        <w:t>（三）项目监管情况。</w:t>
      </w:r>
      <w:r>
        <w:rPr>
          <w:rFonts w:hint="eastAsia" w:ascii="仿宋_GB2312" w:hAnsi="仿宋" w:eastAsia="仿宋_GB2312"/>
          <w:sz w:val="32"/>
          <w:szCs w:val="32"/>
        </w:rPr>
        <w:t>电视台《以案说法》栏目每周二在遂宁电视台公共频道首播，在其他时段新闻频道、公共频道重播5次，每期节目上传至直播遂宁APP，法治遂宁网站等多个媒体进行播出。</w:t>
      </w:r>
    </w:p>
    <w:p w14:paraId="61DBAF0D">
      <w:pPr>
        <w:adjustRightInd w:val="0"/>
        <w:snapToGrid w:val="0"/>
        <w:spacing w:line="600" w:lineRule="exact"/>
        <w:ind w:firstLine="960" w:firstLineChars="300"/>
        <w:rPr>
          <w:rFonts w:ascii="仿宋_GB2312" w:hAnsi="宋体" w:eastAsia="仿宋_GB2312"/>
          <w:sz w:val="32"/>
          <w:szCs w:val="32"/>
          <w:lang w:val="zh-CN"/>
        </w:rPr>
      </w:pPr>
      <w:r>
        <w:rPr>
          <w:rFonts w:hint="eastAsia" w:ascii="黑体" w:hAnsi="宋体" w:eastAsia="黑体"/>
          <w:sz w:val="32"/>
          <w:szCs w:val="32"/>
          <w:lang w:eastAsia="zh-CN"/>
        </w:rPr>
        <w:t>四</w:t>
      </w:r>
      <w:r>
        <w:rPr>
          <w:rFonts w:hint="eastAsia" w:ascii="黑体" w:hAnsi="宋体" w:eastAsia="黑体"/>
          <w:sz w:val="32"/>
          <w:szCs w:val="32"/>
        </w:rPr>
        <w:t>、项目绩效情况</w:t>
      </w:r>
      <w:r>
        <w:rPr>
          <w:rFonts w:hint="eastAsia" w:ascii="仿宋_GB2312" w:hAnsi="宋体" w:eastAsia="仿宋_GB2312"/>
          <w:sz w:val="32"/>
          <w:szCs w:val="32"/>
          <w:lang w:val="zh-CN"/>
        </w:rPr>
        <w:tab/>
      </w:r>
    </w:p>
    <w:p w14:paraId="76A756D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75BE6C5C">
      <w:pPr>
        <w:adjustRightInd w:val="0"/>
        <w:snapToGrid w:val="0"/>
        <w:spacing w:line="600" w:lineRule="exact"/>
        <w:ind w:firstLine="720"/>
        <w:rPr>
          <w:rFonts w:hint="eastAsia"/>
        </w:rPr>
      </w:pPr>
      <w:r>
        <w:rPr>
          <w:rFonts w:hint="eastAsia" w:ascii="仿宋_GB2312" w:hAnsi="仿宋" w:eastAsia="仿宋_GB2312"/>
          <w:sz w:val="32"/>
          <w:szCs w:val="32"/>
        </w:rPr>
        <w:t>《以案说法》</w:t>
      </w:r>
      <w:r>
        <w:rPr>
          <w:rFonts w:hint="eastAsia" w:ascii="仿宋_GB2312" w:hAnsi="仿宋" w:eastAsia="仿宋_GB2312"/>
          <w:sz w:val="32"/>
          <w:szCs w:val="32"/>
          <w:lang w:eastAsia="zh-CN"/>
        </w:rPr>
        <w:t>电视节目</w:t>
      </w:r>
      <w:r>
        <w:rPr>
          <w:rFonts w:hint="eastAsia" w:ascii="仿宋_GB2312" w:hAnsi="仿宋" w:eastAsia="仿宋_GB2312"/>
          <w:sz w:val="32"/>
          <w:szCs w:val="32"/>
        </w:rPr>
        <w:t>项目资金由市司法局每年分二期拨付给市广播电视台，每年6月30、11月30日前对节目制作完成情况进行考核，6月30日前完成26期，11月30日前完成全年任务52期，制作完成节目均在以上媒体进行播出。</w:t>
      </w:r>
    </w:p>
    <w:p w14:paraId="300916B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BD2F17A">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《以案说法》栏目紧紧围绕市委中心工作，服务于经济社会发展，不断推动法治宣传教育工作创新发展，为推进依法治市、建设法治遂宁、营造良好法治环境做出了积极的贡献。</w:t>
      </w:r>
    </w:p>
    <w:p w14:paraId="20120C69">
      <w:pPr>
        <w:adjustRightInd w:val="0"/>
        <w:snapToGrid w:val="0"/>
        <w:spacing w:line="600" w:lineRule="exact"/>
        <w:ind w:firstLine="720"/>
        <w:rPr>
          <w:rFonts w:hint="default" w:eastAsia="仿宋_GB2312"/>
          <w:lang w:val="en-US" w:eastAsia="zh-CN"/>
        </w:rPr>
      </w:pPr>
      <w:r>
        <w:rPr>
          <w:rFonts w:hint="eastAsia" w:ascii="仿宋_GB2312" w:hAnsi="仿宋"/>
          <w:sz w:val="32"/>
          <w:szCs w:val="32"/>
          <w:lang w:val="en-US" w:eastAsia="zh-CN"/>
        </w:rPr>
        <w:t xml:space="preserve"> </w:t>
      </w:r>
      <w:r>
        <w:rPr>
          <w:rFonts w:hint="eastAsia" w:ascii="黑体" w:hAnsi="宋体" w:eastAsia="黑体"/>
          <w:sz w:val="32"/>
          <w:szCs w:val="32"/>
        </w:rPr>
        <w:t>五、评价结论及建议</w:t>
      </w:r>
    </w:p>
    <w:p w14:paraId="5C937B3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68E3B822">
      <w:pPr>
        <w:pStyle w:val="13"/>
        <w:spacing w:before="0" w:beforeAutospacing="0" w:after="0" w:afterAutospacing="0" w:line="580" w:lineRule="exact"/>
        <w:ind w:firstLine="72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项目运行本着</w:t>
      </w:r>
      <w:r>
        <w:rPr>
          <w:rFonts w:hint="eastAsia" w:ascii="仿宋_GB2312" w:hAnsi="仿宋" w:eastAsia="仿宋_GB2312"/>
          <w:color w:val="000000"/>
          <w:sz w:val="32"/>
          <w:szCs w:val="32"/>
        </w:rPr>
        <w:t>“以收定支，量入为出，保证重点，兼顾一般”的原则，使</w:t>
      </w:r>
      <w:r>
        <w:rPr>
          <w:rFonts w:hint="eastAsia" w:ascii="仿宋_GB2312" w:hAnsi="仿宋" w:eastAsia="仿宋_GB2312"/>
          <w:color w:val="000000"/>
          <w:sz w:val="32"/>
          <w:szCs w:val="32"/>
          <w:lang w:eastAsia="zh-CN"/>
        </w:rPr>
        <w:t>项目资金</w:t>
      </w:r>
      <w:r>
        <w:rPr>
          <w:rFonts w:hint="eastAsia" w:ascii="仿宋_GB2312" w:hAnsi="仿宋" w:eastAsia="仿宋_GB2312"/>
          <w:color w:val="000000"/>
          <w:sz w:val="32"/>
          <w:szCs w:val="32"/>
        </w:rPr>
        <w:t>预算更加切合实际</w:t>
      </w:r>
      <w:r>
        <w:rPr>
          <w:rFonts w:hint="eastAsia" w:ascii="仿宋_GB2312" w:hAnsi="仿宋" w:eastAsia="仿宋_GB2312"/>
          <w:color w:val="000000"/>
          <w:sz w:val="32"/>
          <w:szCs w:val="32"/>
          <w:lang w:eastAsia="zh-CN"/>
        </w:rPr>
        <w:t>，项目</w:t>
      </w:r>
      <w:r>
        <w:rPr>
          <w:rFonts w:hint="eastAsia" w:ascii="仿宋_GB2312" w:eastAsia="仿宋_GB2312"/>
          <w:sz w:val="32"/>
          <w:szCs w:val="32"/>
        </w:rPr>
        <w:t>提供的产品、服务、效益目标明确细化，可衡量；绩效目标设定符合实际需求，合理可行；资金分配管理科学合理、规范有序，突出重点工作内容</w:t>
      </w:r>
      <w:r>
        <w:rPr>
          <w:rFonts w:hint="eastAsia" w:ascii="仿宋_GB2312" w:hAnsi="仿宋" w:eastAsia="仿宋_GB2312" w:cs="Times New Roman"/>
          <w:color w:val="000000"/>
          <w:sz w:val="32"/>
          <w:szCs w:val="32"/>
        </w:rPr>
        <w:t>。</w:t>
      </w:r>
    </w:p>
    <w:p w14:paraId="3D534E0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684150E4">
      <w:pPr>
        <w:pStyle w:val="13"/>
        <w:spacing w:before="0" w:beforeAutospacing="0" w:after="0" w:afterAutospacing="0" w:line="580" w:lineRule="exact"/>
        <w:ind w:firstLine="720"/>
        <w:rPr>
          <w:rFonts w:ascii="仿宋_GB2312" w:hAnsi="仿宋" w:eastAsia="仿宋_GB2312"/>
          <w:sz w:val="32"/>
          <w:szCs w:val="32"/>
        </w:rPr>
      </w:pPr>
      <w:r>
        <w:rPr>
          <w:rFonts w:hint="eastAsia" w:ascii="仿宋_GB2312" w:hAnsi="仿宋" w:eastAsia="仿宋_GB2312" w:cs="Times New Roman"/>
          <w:color w:val="000000"/>
          <w:sz w:val="32"/>
          <w:szCs w:val="32"/>
          <w:shd w:val="clear" w:color="auto" w:fill="FFFFFF"/>
          <w:lang w:eastAsia="zh-CN"/>
        </w:rPr>
        <w:t>项目绩效</w:t>
      </w:r>
      <w:r>
        <w:rPr>
          <w:rFonts w:hint="eastAsia" w:ascii="仿宋_GB2312" w:hAnsi="仿宋" w:eastAsia="仿宋_GB2312" w:cs="Times New Roman"/>
          <w:color w:val="000000"/>
          <w:sz w:val="32"/>
          <w:szCs w:val="32"/>
          <w:shd w:val="clear" w:color="auto" w:fill="FFFFFF"/>
        </w:rPr>
        <w:t>监管有待加强。</w:t>
      </w:r>
    </w:p>
    <w:p w14:paraId="7EDF249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1854973D">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强化</w:t>
      </w:r>
      <w:r>
        <w:rPr>
          <w:rFonts w:hint="eastAsia" w:ascii="仿宋_GB2312" w:hAnsi="仿宋" w:eastAsia="仿宋_GB2312"/>
          <w:sz w:val="32"/>
          <w:szCs w:val="32"/>
          <w:lang w:eastAsia="zh-CN"/>
        </w:rPr>
        <w:t>项目绩效</w:t>
      </w:r>
      <w:r>
        <w:rPr>
          <w:rFonts w:hint="eastAsia" w:ascii="仿宋_GB2312" w:hAnsi="仿宋" w:eastAsia="仿宋_GB2312"/>
          <w:sz w:val="32"/>
          <w:szCs w:val="32"/>
        </w:rPr>
        <w:t>管理制度，加强</w:t>
      </w:r>
      <w:r>
        <w:rPr>
          <w:rFonts w:hint="eastAsia" w:ascii="仿宋_GB2312" w:hAnsi="仿宋" w:eastAsia="仿宋_GB2312"/>
          <w:sz w:val="32"/>
          <w:szCs w:val="32"/>
          <w:lang w:eastAsia="zh-CN"/>
        </w:rPr>
        <w:t>项目</w:t>
      </w:r>
      <w:r>
        <w:rPr>
          <w:rFonts w:hint="eastAsia" w:ascii="仿宋_GB2312" w:hAnsi="仿宋" w:eastAsia="仿宋_GB2312"/>
          <w:sz w:val="32"/>
          <w:szCs w:val="32"/>
        </w:rPr>
        <w:t>预算管理和监督，提高经费使用的科学性和准确性。</w:t>
      </w:r>
    </w:p>
    <w:p w14:paraId="6FD66932">
      <w:pPr>
        <w:spacing w:line="580" w:lineRule="exact"/>
        <w:ind w:firstLine="640"/>
        <w:rPr>
          <w:rFonts w:ascii="仿宋_GB2312" w:hAnsi="仿宋_GB2312" w:eastAsia="仿宋_GB2312" w:cs="仿宋_GB2312"/>
          <w:sz w:val="32"/>
          <w:szCs w:val="32"/>
        </w:rPr>
      </w:pPr>
    </w:p>
    <w:p w14:paraId="5BB17D87">
      <w:pPr>
        <w:spacing w:line="580" w:lineRule="exact"/>
        <w:ind w:firstLine="640"/>
        <w:rPr>
          <w:rFonts w:ascii="仿宋_GB2312" w:hAnsi="仿宋_GB2312" w:eastAsia="仿宋_GB2312" w:cs="仿宋_GB2312"/>
          <w:sz w:val="32"/>
          <w:szCs w:val="32"/>
        </w:rPr>
      </w:pPr>
    </w:p>
    <w:p w14:paraId="241FEBF9">
      <w:pPr>
        <w:widowControl/>
        <w:jc w:val="left"/>
        <w:rPr>
          <w:rStyle w:val="26"/>
          <w:rFonts w:ascii="黑体" w:hAnsi="黑体" w:eastAsia="黑体"/>
          <w:b w:val="0"/>
        </w:rPr>
      </w:pPr>
    </w:p>
    <w:p w14:paraId="581FBC98">
      <w:pPr>
        <w:widowControl/>
        <w:jc w:val="left"/>
        <w:rPr>
          <w:rStyle w:val="26"/>
          <w:rFonts w:ascii="黑体" w:hAnsi="黑体" w:eastAsia="黑体"/>
          <w:b w:val="0"/>
        </w:rPr>
      </w:pPr>
      <w:r>
        <w:rPr>
          <w:rStyle w:val="26"/>
          <w:rFonts w:ascii="黑体" w:hAnsi="黑体" w:eastAsia="黑体"/>
          <w:b w:val="0"/>
        </w:rPr>
        <w:br w:type="page"/>
      </w:r>
    </w:p>
    <w:p w14:paraId="786D76FF">
      <w:pPr>
        <w:spacing w:line="600" w:lineRule="exact"/>
        <w:jc w:val="center"/>
        <w:outlineLvl w:val="0"/>
        <w:rPr>
          <w:rStyle w:val="26"/>
          <w:rFonts w:ascii="黑体" w:hAnsi="黑体" w:eastAsia="黑体"/>
          <w:b w:val="0"/>
        </w:rPr>
      </w:pPr>
      <w:bookmarkStart w:id="59"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59"/>
    </w:p>
    <w:p w14:paraId="2821D931">
      <w:pPr>
        <w:spacing w:line="600" w:lineRule="exact"/>
        <w:jc w:val="center"/>
        <w:outlineLvl w:val="0"/>
        <w:rPr>
          <w:rFonts w:ascii="仿宋" w:hAnsi="仿宋" w:eastAsia="仿宋"/>
          <w:b/>
          <w:color w:val="000000"/>
          <w:sz w:val="44"/>
          <w:szCs w:val="44"/>
        </w:rPr>
      </w:pPr>
    </w:p>
    <w:p w14:paraId="6C385113">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0"/>
    </w:p>
    <w:p w14:paraId="0575529B">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1"/>
    </w:p>
    <w:p w14:paraId="67AA3F0F">
      <w:pPr>
        <w:pStyle w:val="4"/>
        <w:rPr>
          <w:rFonts w:ascii="仿宋" w:hAnsi="仿宋" w:eastAsia="仿宋"/>
          <w:color w:val="000000"/>
        </w:rPr>
      </w:pPr>
      <w:bookmarkStart w:id="6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2"/>
    </w:p>
    <w:p w14:paraId="32801628">
      <w:pPr>
        <w:pStyle w:val="4"/>
        <w:rPr>
          <w:rFonts w:ascii="仿宋" w:hAnsi="仿宋" w:eastAsia="仿宋"/>
          <w:b w:val="0"/>
          <w:color w:val="000000"/>
        </w:rPr>
      </w:pPr>
      <w:bookmarkStart w:id="6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3"/>
    </w:p>
    <w:p w14:paraId="62E6B0FE">
      <w:pPr>
        <w:pStyle w:val="4"/>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4"/>
      <w:bookmarkStart w:id="65" w:name="_Toc15396624"/>
    </w:p>
    <w:p w14:paraId="31FFFDC1">
      <w:pPr>
        <w:pStyle w:val="4"/>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5"/>
    </w:p>
    <w:p w14:paraId="5B9C7960">
      <w:pPr>
        <w:pStyle w:val="4"/>
        <w:rPr>
          <w:rFonts w:ascii="仿宋" w:hAnsi="仿宋" w:eastAsia="仿宋"/>
          <w:color w:val="000000"/>
        </w:rPr>
      </w:pPr>
      <w:bookmarkStart w:id="6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6"/>
    </w:p>
    <w:p w14:paraId="355E0BBF">
      <w:pPr>
        <w:pStyle w:val="4"/>
        <w:rPr>
          <w:rFonts w:ascii="仿宋" w:hAnsi="仿宋" w:eastAsia="仿宋"/>
          <w:color w:val="000000"/>
        </w:rPr>
      </w:pPr>
      <w:bookmarkStart w:id="67"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7"/>
    </w:p>
    <w:p w14:paraId="6AC1C145">
      <w:pPr>
        <w:pStyle w:val="4"/>
        <w:rPr>
          <w:rFonts w:ascii="仿宋" w:hAnsi="仿宋" w:eastAsia="仿宋"/>
          <w:color w:val="000000"/>
        </w:rPr>
      </w:pPr>
      <w:bookmarkStart w:id="68"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8"/>
    </w:p>
    <w:p w14:paraId="26BDCB7A">
      <w:pPr>
        <w:pStyle w:val="4"/>
        <w:rPr>
          <w:rFonts w:ascii="仿宋" w:hAnsi="仿宋" w:eastAsia="仿宋"/>
          <w:color w:val="000000"/>
        </w:rPr>
      </w:pPr>
      <w:bookmarkStart w:id="69"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9"/>
    </w:p>
    <w:p w14:paraId="7041586D">
      <w:pPr>
        <w:pStyle w:val="4"/>
        <w:rPr>
          <w:rFonts w:ascii="仿宋" w:hAnsi="仿宋" w:eastAsia="仿宋"/>
          <w:color w:val="000000"/>
        </w:rPr>
      </w:pPr>
      <w:bookmarkStart w:id="70"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0"/>
    </w:p>
    <w:p w14:paraId="656FAA14">
      <w:pPr>
        <w:pStyle w:val="4"/>
        <w:rPr>
          <w:rFonts w:ascii="仿宋" w:hAnsi="仿宋" w:eastAsia="仿宋"/>
          <w:color w:val="000000"/>
        </w:rPr>
      </w:pPr>
      <w:bookmarkStart w:id="71"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1"/>
    </w:p>
    <w:p w14:paraId="3AE48037">
      <w:pPr>
        <w:pStyle w:val="4"/>
        <w:rPr>
          <w:rFonts w:ascii="仿宋" w:hAnsi="仿宋" w:eastAsia="仿宋"/>
          <w:color w:val="000000" w:themeColor="text1"/>
        </w:rPr>
      </w:pPr>
      <w:bookmarkStart w:id="72"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BD12147">
        <w:pPr>
          <w:pStyle w:val="9"/>
          <w:jc w:val="center"/>
        </w:pPr>
        <w:r>
          <w:fldChar w:fldCharType="begin"/>
        </w:r>
        <w:r>
          <w:instrText xml:space="preserve">PAGE   \* MERGEFORMAT</w:instrText>
        </w:r>
        <w:r>
          <w:fldChar w:fldCharType="separate"/>
        </w:r>
        <w:r>
          <w:rPr>
            <w:lang w:val="zh-CN"/>
          </w:rPr>
          <w:t>24</w:t>
        </w:r>
        <w:r>
          <w:fldChar w:fldCharType="end"/>
        </w:r>
      </w:p>
    </w:sdtContent>
  </w:sdt>
  <w:p w14:paraId="2E22476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3DA2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22527"/>
    <w:multiLevelType w:val="singleLevel"/>
    <w:tmpl w:val="91622527"/>
    <w:lvl w:ilvl="0" w:tentative="0">
      <w:start w:val="1"/>
      <w:numFmt w:val="decimal"/>
      <w:suff w:val="nothing"/>
      <w:lvlText w:val="（%1）"/>
      <w:lvlJc w:val="left"/>
    </w:lvl>
  </w:abstractNum>
  <w:abstractNum w:abstractNumId="1">
    <w:nsid w:val="A4CF24ED"/>
    <w:multiLevelType w:val="singleLevel"/>
    <w:tmpl w:val="A4CF24ED"/>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0BB6EF22"/>
    <w:multiLevelType w:val="singleLevel"/>
    <w:tmpl w:val="0BB6EF22"/>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800D95D"/>
    <w:multiLevelType w:val="singleLevel"/>
    <w:tmpl w:val="7800D95D"/>
    <w:lvl w:ilvl="0" w:tentative="0">
      <w:start w:val="2"/>
      <w:numFmt w:val="chineseCounting"/>
      <w:suff w:val="nothing"/>
      <w:lvlText w:val="（%1）"/>
      <w:lvlJc w:val="left"/>
      <w:rPr>
        <w:rFonts w:hint="eastAsia"/>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5Y2NkNTAxNzliZDQwMmM3Y2EyYmExMTJlZGNjM2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D351C8"/>
    <w:rsid w:val="09FD13F3"/>
    <w:rsid w:val="10C055FF"/>
    <w:rsid w:val="14546A65"/>
    <w:rsid w:val="16BB723D"/>
    <w:rsid w:val="1A035640"/>
    <w:rsid w:val="1E5C451B"/>
    <w:rsid w:val="240371BF"/>
    <w:rsid w:val="27E11234"/>
    <w:rsid w:val="29FD04D3"/>
    <w:rsid w:val="30841BD9"/>
    <w:rsid w:val="319F7F4E"/>
    <w:rsid w:val="35920AED"/>
    <w:rsid w:val="3E5638B6"/>
    <w:rsid w:val="4ECE2238"/>
    <w:rsid w:val="50D2486B"/>
    <w:rsid w:val="53906B0C"/>
    <w:rsid w:val="5D5D3AD8"/>
    <w:rsid w:val="5DDC3A86"/>
    <w:rsid w:val="5FF20B27"/>
    <w:rsid w:val="6AC33FCF"/>
    <w:rsid w:val="6B292CAC"/>
    <w:rsid w:val="6B2D36A0"/>
    <w:rsid w:val="6E140388"/>
    <w:rsid w:val="72734D90"/>
    <w:rsid w:val="76124A88"/>
    <w:rsid w:val="7BC14A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pPr>
    <w:rPr>
      <w:rFonts w:ascii="Times New Roman" w:hAnsi="Times New Roman" w:eastAsia="仿宋_GB2312"/>
      <w:sz w:val="32"/>
      <w:szCs w:val="32"/>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收入支出情况对比</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1441.44</c:v>
                </c:pt>
                <c:pt idx="1">
                  <c:v>1982.56</c:v>
                </c:pt>
              </c:numCache>
            </c:numRef>
          </c:val>
        </c:ser>
        <c:ser>
          <c:idx val="1"/>
          <c:order val="1"/>
          <c:tx>
            <c:strRef>
              <c:f>Sheet1!$C$1</c:f>
              <c:strCache>
                <c:ptCount val="1"/>
                <c:pt idx="0">
                  <c:v>支出（万元）</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Sheet1!$C$2:$C$3</c:f>
              <c:numCache>
                <c:formatCode>General</c:formatCode>
                <c:ptCount val="2"/>
                <c:pt idx="0">
                  <c:v>1359.11</c:v>
                </c:pt>
                <c:pt idx="1">
                  <c:v>1790.18</c:v>
                </c:pt>
              </c:numCache>
            </c:numRef>
          </c:val>
        </c:ser>
        <c:dLbls>
          <c:showLegendKey val="0"/>
          <c:showVal val="0"/>
          <c:showCatName val="0"/>
          <c:showSerName val="0"/>
          <c:showPercent val="0"/>
          <c:showBubbleSize val="0"/>
        </c:dLbls>
        <c:gapWidth val="219"/>
        <c:overlap val="-27"/>
        <c:axId val="607487662"/>
        <c:axId val="338786774"/>
      </c:barChart>
      <c:catAx>
        <c:axId val="6074876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786774"/>
        <c:crosses val="autoZero"/>
        <c:auto val="1"/>
        <c:lblAlgn val="ctr"/>
        <c:lblOffset val="100"/>
        <c:noMultiLvlLbl val="0"/>
      </c:catAx>
      <c:valAx>
        <c:axId val="3387867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4876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b283a7-ffae-4c51-b19f-42efbdeff83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909375"/>
          <c:y val="0.127"/>
          <c:w val="0.570625"/>
          <c:h val="0.760833333333333"/>
        </c:manualLayout>
      </c:layout>
      <c:pieChart>
        <c:varyColors val="1"/>
        <c:ser>
          <c:idx val="0"/>
          <c:order val="0"/>
          <c:tx>
            <c:strRef>
              <c:f>Sheet1!$B$1</c:f>
              <c:strCache>
                <c:ptCount val="1"/>
                <c:pt idx="0">
                  <c:v>收入（万元）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财政拨款收入</c:v>
                </c:pt>
                <c:pt idx="1">
                  <c:v>其他收入</c:v>
                </c:pt>
              </c:strCache>
            </c:strRef>
          </c:cat>
          <c:val>
            <c:numRef>
              <c:f>Sheet1!$B$2:$B$3</c:f>
              <c:numCache>
                <c:formatCode>General</c:formatCode>
                <c:ptCount val="2"/>
                <c:pt idx="0">
                  <c:v>1982.56</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34d11a-6f4e-4d39-be6d-b7ee463d186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1172.74</c:v>
                </c:pt>
                <c:pt idx="1">
                  <c:v>383.76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327647-82f1-440c-826a-94653e053a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收入支出情况对比</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1441.44</c:v>
                </c:pt>
                <c:pt idx="1">
                  <c:v>1982.56</c:v>
                </c:pt>
              </c:numCache>
            </c:numRef>
          </c:val>
        </c:ser>
        <c:ser>
          <c:idx val="1"/>
          <c:order val="1"/>
          <c:tx>
            <c:strRef>
              <c:f>Sheet1!$C$1</c:f>
              <c:strCache>
                <c:ptCount val="1"/>
                <c:pt idx="0">
                  <c:v>支出（万元）</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Sheet1!$C$2:$C$3</c:f>
              <c:numCache>
                <c:formatCode>General</c:formatCode>
                <c:ptCount val="2"/>
                <c:pt idx="0">
                  <c:v>1359.11</c:v>
                </c:pt>
                <c:pt idx="1">
                  <c:v>1790.18</c:v>
                </c:pt>
              </c:numCache>
            </c:numRef>
          </c:val>
        </c:ser>
        <c:dLbls>
          <c:showLegendKey val="0"/>
          <c:showVal val="0"/>
          <c:showCatName val="0"/>
          <c:showSerName val="0"/>
          <c:showPercent val="0"/>
          <c:showBubbleSize val="0"/>
        </c:dLbls>
        <c:gapWidth val="219"/>
        <c:overlap val="-27"/>
        <c:axId val="607487662"/>
        <c:axId val="338786774"/>
      </c:barChart>
      <c:catAx>
        <c:axId val="6074876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786774"/>
        <c:crosses val="autoZero"/>
        <c:auto val="1"/>
        <c:lblAlgn val="ctr"/>
        <c:lblOffset val="100"/>
        <c:noMultiLvlLbl val="0"/>
      </c:catAx>
      <c:valAx>
        <c:axId val="3387867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4876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df080b-51c6-4970-ad11-daeb5a5f19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Sheet1!$B$1</c:f>
              <c:strCache>
                <c:ptCount val="1"/>
                <c:pt idx="0">
                  <c:v>支出（万元）</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1359.11</c:v>
                </c:pt>
                <c:pt idx="1">
                  <c:v>1790.07</c:v>
                </c:pt>
              </c:numCache>
            </c:numRef>
          </c:val>
        </c:ser>
        <c:dLbls>
          <c:showLegendKey val="0"/>
          <c:showVal val="0"/>
          <c:showCatName val="0"/>
          <c:showSerName val="0"/>
          <c:showPercent val="0"/>
          <c:showBubbleSize val="0"/>
        </c:dLbls>
        <c:gapWidth val="219"/>
        <c:overlap val="-27"/>
        <c:axId val="607487662"/>
        <c:axId val="338786774"/>
      </c:barChart>
      <c:catAx>
        <c:axId val="6074876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786774"/>
        <c:crosses val="autoZero"/>
        <c:auto val="1"/>
        <c:lblAlgn val="ctr"/>
        <c:lblOffset val="100"/>
        <c:noMultiLvlLbl val="0"/>
      </c:catAx>
      <c:valAx>
        <c:axId val="3387867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4876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d45729-0850-403b-9ab8-121a46dae6a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一般公共服务支出</c:v>
                </c:pt>
                <c:pt idx="1">
                  <c:v>公共安全支出</c:v>
                </c:pt>
                <c:pt idx="2">
                  <c:v>社会保障和就业支出</c:v>
                </c:pt>
                <c:pt idx="3">
                  <c:v>卫生健康支出</c:v>
                </c:pt>
                <c:pt idx="4">
                  <c:v>住房保障支出</c:v>
                </c:pt>
              </c:strCache>
            </c:strRef>
          </c:cat>
          <c:val>
            <c:numRef>
              <c:f>Sheet1!$B$2:$B$6</c:f>
              <c:numCache>
                <c:formatCode>General</c:formatCode>
                <c:ptCount val="5"/>
                <c:pt idx="0">
                  <c:v>257.2</c:v>
                </c:pt>
                <c:pt idx="1">
                  <c:v>1260.34</c:v>
                </c:pt>
                <c:pt idx="2">
                  <c:v>108.08</c:v>
                </c:pt>
                <c:pt idx="3">
                  <c:v>54.83</c:v>
                </c:pt>
                <c:pt idx="4">
                  <c:v>109.62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4ff659-9aab-4d9e-ab8d-264b35e712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“三公”经费（万元）</c:v>
                </c:pt>
              </c:strCache>
            </c:strRef>
          </c:tx>
          <c:explosion val="0"/>
          <c:dPt>
            <c:idx val="0"/>
            <c:bubble3D val="0"/>
          </c:dPt>
          <c:dPt>
            <c:idx val="1"/>
            <c:bubble3D val="0"/>
          </c:dPt>
          <c:dPt>
            <c:idx val="2"/>
            <c:bubble3D val="0"/>
          </c:dPt>
          <c:dLbls>
            <c:delete val="1"/>
          </c:dLbls>
          <c:cat>
            <c:strRef>
              <c:f>Sheet1!$A$2:$A$4</c:f>
              <c:strCache>
                <c:ptCount val="3"/>
                <c:pt idx="0">
                  <c:v>公务用车购置及运行维护费</c:v>
                </c:pt>
                <c:pt idx="1">
                  <c:v>公务接待费</c:v>
                </c:pt>
                <c:pt idx="2">
                  <c:v>因公出国费</c:v>
                </c:pt>
              </c:strCache>
            </c:strRef>
          </c:cat>
          <c:val>
            <c:numRef>
              <c:f>Sheet1!$B$2:$B$4</c:f>
              <c:numCache>
                <c:formatCode>General</c:formatCode>
                <c:ptCount val="3"/>
                <c:pt idx="0">
                  <c:v>12.89</c:v>
                </c:pt>
                <c:pt idx="1">
                  <c:v>1.65</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2cab763-4f0c-4d7c-9063-39e1f99295e9}"/>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47</Pages>
  <Words>2760</Words>
  <Characters>2802</Characters>
  <Lines>7</Lines>
  <Paragraphs>17</Paragraphs>
  <TotalTime>3</TotalTime>
  <ScaleCrop>false</ScaleCrop>
  <LinksUpToDate>false</LinksUpToDate>
  <CharactersWithSpaces>2810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cp:lastModifiedBy>
  <cp:lastPrinted>2020-07-23T02:58:00Z</cp:lastPrinted>
  <dcterms:modified xsi:type="dcterms:W3CDTF">2025-01-14T03:13:41Z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6E2EAF288E5145E9B9B339139432A636_12</vt:lpwstr>
  </property>
  <property fmtid="{D5CDD505-2E9C-101B-9397-08002B2CF9AE}" pid="4" name="KSOTemplateDocerSaveRecord">
    <vt:lpwstr>eyJoZGlkIjoiMGQ5Y2NkNTAxNzliZDQwMmM3Y2EyYmExMTJlZGNjM2YiLCJ1c2VySWQiOiIyNzY3Mjk4MDgifQ==</vt:lpwstr>
  </property>
</Properties>
</file>