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A7A240">
      <w:pPr>
        <w:pStyle w:val="5"/>
        <w:keepNext w:val="0"/>
        <w:keepLines w:val="0"/>
        <w:pageBreakBefore w:val="0"/>
        <w:widowControl w:val="0"/>
        <w:kinsoku/>
        <w:wordWrap/>
        <w:overflowPunct w:val="0"/>
        <w:topLinePunct w:val="0"/>
        <w:autoSpaceDE/>
        <w:autoSpaceDN/>
        <w:bidi w:val="0"/>
        <w:adjustRightInd w:val="0"/>
        <w:snapToGrid w:val="0"/>
        <w:spacing w:line="574" w:lineRule="exact"/>
        <w:ind w:left="0" w:leftChars="0" w:firstLine="880" w:firstLineChars="200"/>
        <w:jc w:val="both"/>
        <w:textAlignment w:val="auto"/>
        <w:rPr>
          <w:rFonts w:hint="eastAsia" w:eastAsia="方正小标宋_GBK" w:cs="方正小标宋_GBK"/>
          <w:snapToGrid w:val="0"/>
          <w:color w:val="auto"/>
          <w:kern w:val="0"/>
          <w:sz w:val="44"/>
          <w:szCs w:val="44"/>
          <w:highlight w:val="none"/>
          <w:u w:val="none"/>
          <w:lang w:val="en-US" w:eastAsia="zh-CN"/>
        </w:rPr>
      </w:pPr>
      <w:r>
        <w:rPr>
          <w:rFonts w:hint="eastAsia" w:eastAsia="方正小标宋_GBK" w:cs="方正小标宋_GBK"/>
          <w:snapToGrid w:val="0"/>
          <w:color w:val="auto"/>
          <w:kern w:val="0"/>
          <w:sz w:val="44"/>
          <w:szCs w:val="44"/>
          <w:highlight w:val="none"/>
          <w:u w:val="none"/>
          <w:lang w:val="en-US" w:eastAsia="zh-CN"/>
        </w:rPr>
        <w:t>遂宁市养老机构管理</w:t>
      </w:r>
      <w:r>
        <w:rPr>
          <w:rFonts w:hint="eastAsia" w:ascii="Times New Roman" w:hAnsi="Times New Roman" w:eastAsia="方正小标宋_GBK" w:cs="方正小标宋_GBK"/>
          <w:snapToGrid w:val="0"/>
          <w:color w:val="auto"/>
          <w:kern w:val="0"/>
          <w:sz w:val="44"/>
          <w:szCs w:val="44"/>
          <w:highlight w:val="none"/>
          <w:u w:val="none"/>
          <w:lang w:val="en-US" w:eastAsia="zh-CN"/>
        </w:rPr>
        <w:t>条</w:t>
      </w:r>
      <w:r>
        <w:rPr>
          <w:rFonts w:hint="eastAsia" w:eastAsia="方正小标宋_GBK" w:cs="方正小标宋_GBK"/>
          <w:snapToGrid w:val="0"/>
          <w:color w:val="auto"/>
          <w:kern w:val="0"/>
          <w:sz w:val="44"/>
          <w:szCs w:val="44"/>
          <w:highlight w:val="none"/>
          <w:u w:val="none"/>
          <w:lang w:val="en-US" w:eastAsia="zh-CN"/>
        </w:rPr>
        <w:t>例（草案四</w:t>
      </w:r>
      <w:bookmarkStart w:id="0" w:name="_GoBack"/>
      <w:bookmarkEnd w:id="0"/>
      <w:r>
        <w:rPr>
          <w:rFonts w:hint="eastAsia" w:eastAsia="方正小标宋_GBK" w:cs="方正小标宋_GBK"/>
          <w:snapToGrid w:val="0"/>
          <w:color w:val="auto"/>
          <w:kern w:val="0"/>
          <w:sz w:val="44"/>
          <w:szCs w:val="44"/>
          <w:highlight w:val="none"/>
          <w:u w:val="none"/>
          <w:lang w:val="en-US" w:eastAsia="zh-CN"/>
        </w:rPr>
        <w:t>稿）</w:t>
      </w:r>
    </w:p>
    <w:p w14:paraId="08AE1CDC">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74" w:lineRule="exact"/>
        <w:ind w:left="0" w:leftChars="0" w:right="0" w:rightChars="0" w:firstLine="640" w:firstLineChars="200"/>
        <w:jc w:val="both"/>
        <w:textAlignment w:val="auto"/>
        <w:rPr>
          <w:rFonts w:hint="eastAsia" w:ascii="Times New Roman" w:hAnsi="Times New Roman" w:eastAsia="方正黑体_GBK" w:cs="方正黑体_GBK"/>
          <w:color w:val="auto"/>
          <w:spacing w:val="0"/>
          <w:kern w:val="21"/>
          <w:sz w:val="32"/>
          <w:szCs w:val="32"/>
          <w:highlight w:val="none"/>
          <w:u w:val="none"/>
          <w:lang w:val="en-US" w:eastAsia="zh-CN" w:bidi="ar"/>
          <w14:ligatures w14:val="standardContextual"/>
        </w:rPr>
      </w:pPr>
    </w:p>
    <w:p w14:paraId="3334C387">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74" w:lineRule="exact"/>
        <w:ind w:left="0" w:leftChars="0" w:right="0" w:rightChars="0" w:firstLine="640" w:firstLineChars="200"/>
        <w:jc w:val="both"/>
        <w:textAlignment w:val="auto"/>
        <w:rPr>
          <w:rFonts w:hint="eastAsia" w:ascii="Times New Roman" w:hAnsi="Times New Roman" w:eastAsia="方正仿宋_GBK" w:cs="方正仿宋_GBK"/>
          <w:color w:val="auto"/>
          <w:spacing w:val="0"/>
          <w:kern w:val="21"/>
          <w:sz w:val="32"/>
          <w:szCs w:val="32"/>
          <w:highlight w:val="none"/>
          <w:u w:val="none"/>
        </w:rPr>
      </w:pPr>
      <w:r>
        <w:rPr>
          <w:rFonts w:hint="eastAsia" w:ascii="Times New Roman" w:hAnsi="Times New Roman" w:eastAsia="方正黑体_GBK" w:cs="方正黑体_GBK"/>
          <w:color w:val="auto"/>
          <w:spacing w:val="0"/>
          <w:kern w:val="21"/>
          <w:sz w:val="32"/>
          <w:szCs w:val="32"/>
          <w:highlight w:val="none"/>
          <w:u w:val="none"/>
          <w:lang w:val="en-US" w:eastAsia="zh-CN" w:bidi="ar"/>
          <w14:ligatures w14:val="standardContextual"/>
        </w:rPr>
        <w:t>第一条（立法目的和依据）</w:t>
      </w:r>
      <w:r>
        <w:rPr>
          <w:rFonts w:hint="eastAsia" w:ascii="Times New Roman" w:hAnsi="Times New Roman" w:eastAsia="方正仿宋_GBK" w:cs="方正仿宋_GBK"/>
          <w:color w:val="auto"/>
          <w:spacing w:val="0"/>
          <w:kern w:val="21"/>
          <w:sz w:val="32"/>
          <w:szCs w:val="32"/>
          <w:highlight w:val="none"/>
          <w:u w:val="none"/>
          <w:lang w:val="en-US" w:eastAsia="zh-CN" w:bidi="ar"/>
          <w14:ligatures w14:val="standardContextual"/>
        </w:rPr>
        <w:t>为了积极应对人口老龄化，规范养老机构运营，加强养老机构管理，保障老年人和养老机构的合法权益，推动养老事业和养老产业高质量发展，根据《中华人民共和国老年人权益保障法》和有关法律、法规，结合本市实际，制定本条例。</w:t>
      </w:r>
    </w:p>
    <w:p w14:paraId="19D1D134">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74" w:lineRule="exact"/>
        <w:ind w:left="0" w:leftChars="0" w:right="0" w:firstLine="640" w:firstLineChars="200"/>
        <w:jc w:val="both"/>
        <w:textAlignment w:val="auto"/>
        <w:rPr>
          <w:rFonts w:hint="eastAsia" w:ascii="Times New Roman" w:hAnsi="Times New Roman" w:eastAsia="方正仿宋_GBK" w:cs="方正仿宋_GBK"/>
          <w:color w:val="auto"/>
          <w:spacing w:val="0"/>
          <w:kern w:val="21"/>
          <w:sz w:val="32"/>
          <w:szCs w:val="32"/>
          <w:highlight w:val="none"/>
          <w:u w:val="none"/>
          <w:lang w:val="en-US" w:eastAsia="zh-CN" w:bidi="ar"/>
          <w14:ligatures w14:val="standardContextual"/>
        </w:rPr>
      </w:pPr>
      <w:r>
        <w:rPr>
          <w:rFonts w:hint="eastAsia" w:ascii="Times New Roman" w:hAnsi="Times New Roman" w:eastAsia="方正黑体_GBK" w:cs="方正黑体_GBK"/>
          <w:color w:val="auto"/>
          <w:spacing w:val="0"/>
          <w:kern w:val="21"/>
          <w:sz w:val="32"/>
          <w:szCs w:val="32"/>
          <w:highlight w:val="none"/>
          <w:u w:val="none"/>
          <w:lang w:val="en-US" w:eastAsia="zh-CN" w:bidi="ar"/>
          <w14:ligatures w14:val="standardContextual"/>
        </w:rPr>
        <w:t>第二条（适用范围和定义）</w:t>
      </w:r>
      <w:r>
        <w:rPr>
          <w:rFonts w:hint="eastAsia" w:ascii="Times New Roman" w:hAnsi="Times New Roman" w:eastAsia="方正仿宋_GBK" w:cs="方正仿宋_GBK"/>
          <w:color w:val="auto"/>
          <w:spacing w:val="0"/>
          <w:kern w:val="21"/>
          <w:sz w:val="32"/>
          <w:szCs w:val="32"/>
          <w:highlight w:val="none"/>
          <w:u w:val="none"/>
          <w:lang w:val="en-US" w:eastAsia="zh-CN" w:bidi="ar"/>
          <w14:ligatures w14:val="standardContextual"/>
        </w:rPr>
        <w:t>本市行政区域内养老机构的规划建设、设立变更与退出、服务运营、扶持保障和监督管理，适用本条例。</w:t>
      </w:r>
    </w:p>
    <w:p w14:paraId="72EB3D9B">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74" w:lineRule="exact"/>
        <w:ind w:left="0" w:leftChars="0" w:right="0" w:firstLine="640" w:firstLineChars="200"/>
        <w:jc w:val="both"/>
        <w:textAlignment w:val="auto"/>
        <w:rPr>
          <w:rFonts w:hint="eastAsia" w:ascii="Times New Roman" w:hAnsi="Times New Roman" w:eastAsia="方正仿宋_GBK" w:cs="方正仿宋_GBK"/>
          <w:color w:val="auto"/>
          <w:spacing w:val="0"/>
          <w:kern w:val="21"/>
          <w:sz w:val="32"/>
          <w:szCs w:val="32"/>
          <w:highlight w:val="none"/>
          <w:u w:val="none"/>
          <w:lang w:val="en-US" w:eastAsia="zh-CN" w:bidi="ar"/>
          <w14:ligatures w14:val="standardContextual"/>
        </w:rPr>
      </w:pPr>
      <w:r>
        <w:rPr>
          <w:rFonts w:hint="eastAsia" w:ascii="Times New Roman" w:hAnsi="Times New Roman" w:eastAsia="方正仿宋_GBK" w:cs="方正仿宋_GBK"/>
          <w:color w:val="auto"/>
          <w:spacing w:val="0"/>
          <w:kern w:val="21"/>
          <w:sz w:val="32"/>
          <w:szCs w:val="32"/>
          <w:highlight w:val="none"/>
          <w:u w:val="none"/>
          <w:lang w:val="en-US" w:eastAsia="zh-CN" w:bidi="ar"/>
          <w14:ligatures w14:val="standardContextual"/>
        </w:rPr>
        <w:t>本条例所称养老机构，是指依法办理登记，为老年人提供全日集中住宿和照料护理服务，且床位规模达到国家规定标准的机构。</w:t>
      </w:r>
    </w:p>
    <w:p w14:paraId="6ABDEFF7">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574" w:lineRule="exact"/>
        <w:ind w:left="0" w:leftChars="0" w:right="0" w:firstLine="640" w:firstLineChars="200"/>
        <w:jc w:val="both"/>
        <w:textAlignment w:val="auto"/>
        <w:rPr>
          <w:rFonts w:hint="eastAsia" w:ascii="Times New Roman" w:hAnsi="Times New Roman" w:eastAsia="方正仿宋_GBK" w:cs="方正仿宋_GBK"/>
          <w:color w:val="auto"/>
          <w:kern w:val="44"/>
          <w:sz w:val="32"/>
          <w:szCs w:val="32"/>
          <w:highlight w:val="none"/>
          <w:u w:val="none"/>
          <w:lang w:val="en-US" w:eastAsia="zh-CN" w:bidi="ar"/>
          <w14:ligatures w14:val="standardContextual"/>
        </w:rPr>
      </w:pPr>
      <w:r>
        <w:rPr>
          <w:rFonts w:hint="eastAsia" w:ascii="Times New Roman" w:hAnsi="Times New Roman" w:eastAsia="方正黑体_GBK" w:cs="方正黑体_GBK"/>
          <w:color w:val="auto"/>
          <w:spacing w:val="0"/>
          <w:kern w:val="21"/>
          <w:sz w:val="32"/>
          <w:szCs w:val="32"/>
          <w:highlight w:val="none"/>
          <w:u w:val="none"/>
          <w:lang w:val="en-US" w:eastAsia="zh-CN" w:bidi="ar"/>
          <w14:ligatures w14:val="standardContextual"/>
        </w:rPr>
        <w:t>第三条（政府职责）</w:t>
      </w:r>
      <w:r>
        <w:rPr>
          <w:rFonts w:hint="eastAsia" w:ascii="Times New Roman" w:hAnsi="Times New Roman" w:eastAsia="方正仿宋_GBK" w:cs="方正仿宋_GBK"/>
          <w:color w:val="auto"/>
          <w:kern w:val="44"/>
          <w:sz w:val="32"/>
          <w:szCs w:val="32"/>
          <w:highlight w:val="none"/>
          <w:u w:val="none"/>
          <w:lang w:val="en-US" w:eastAsia="zh-CN" w:bidi="ar"/>
          <w14:ligatures w14:val="standardContextual"/>
        </w:rPr>
        <w:t>市、县（市、区）人民政府应当统筹协调养老服务体系建设，将养老机构发展纳入同级国民经济和社会发展规划、国土空间规划、养老服务设施专项规划。研究、制定和推进养老机构高质量发展的扶持政策，建立健全与经济社会发展、人口老龄化形势及养老服务需求相适应的经费保障机制。</w:t>
      </w:r>
    </w:p>
    <w:p w14:paraId="44ACB9ED">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74" w:lineRule="exact"/>
        <w:ind w:left="0" w:leftChars="0" w:right="0" w:firstLine="640" w:firstLineChars="200"/>
        <w:jc w:val="both"/>
        <w:textAlignment w:val="auto"/>
        <w:rPr>
          <w:rFonts w:hint="eastAsia" w:ascii="Times New Roman" w:hAnsi="Times New Roman" w:eastAsia="方正仿宋_GBK" w:cs="方正仿宋_GBK"/>
          <w:color w:val="auto"/>
          <w:kern w:val="44"/>
          <w:sz w:val="32"/>
          <w:szCs w:val="32"/>
          <w:highlight w:val="none"/>
          <w:u w:val="none"/>
          <w:lang w:val="en-US" w:eastAsia="zh-CN" w:bidi="ar"/>
          <w14:ligatures w14:val="standardContextual"/>
        </w:rPr>
      </w:pPr>
      <w:r>
        <w:rPr>
          <w:rFonts w:hint="eastAsia" w:ascii="Times New Roman" w:hAnsi="Times New Roman" w:eastAsia="方正仿宋_GBK" w:cs="方正仿宋_GBK"/>
          <w:color w:val="auto"/>
          <w:kern w:val="44"/>
          <w:sz w:val="32"/>
          <w:szCs w:val="32"/>
          <w:highlight w:val="none"/>
          <w:u w:val="none"/>
          <w:lang w:val="en-US" w:eastAsia="zh-CN" w:bidi="ar"/>
          <w14:ligatures w14:val="standardContextual"/>
        </w:rPr>
        <w:t>乡镇人民政府（街道办事处）对本辖区内的养老机构承担安全监管、业务指导、协调保障、应急管理等属地责任，村（居）委员会应当配合乡镇人民政府（街道办事处）开展信息采集、政策宣传、服务监督等相关工作。</w:t>
      </w:r>
    </w:p>
    <w:p w14:paraId="49E34EC9">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74" w:lineRule="exact"/>
        <w:ind w:left="0" w:leftChars="0" w:right="0" w:firstLine="640" w:firstLineChars="200"/>
        <w:jc w:val="both"/>
        <w:textAlignment w:val="auto"/>
        <w:rPr>
          <w:rFonts w:hint="eastAsia" w:ascii="Times New Roman" w:hAnsi="Times New Roman" w:eastAsia="方正仿宋_GBK" w:cs="方正仿宋_GBK"/>
          <w:color w:val="auto"/>
          <w:kern w:val="44"/>
          <w:sz w:val="32"/>
          <w:szCs w:val="32"/>
          <w:highlight w:val="none"/>
          <w:u w:val="none"/>
          <w:lang w:val="en-US" w:eastAsia="zh-CN" w:bidi="ar"/>
          <w14:ligatures w14:val="standardContextual"/>
        </w:rPr>
      </w:pPr>
      <w:r>
        <w:rPr>
          <w:rFonts w:hint="eastAsia" w:ascii="Times New Roman" w:hAnsi="Times New Roman" w:eastAsia="方正仿宋_GBK" w:cs="方正仿宋_GBK"/>
          <w:color w:val="auto"/>
          <w:kern w:val="44"/>
          <w:sz w:val="32"/>
          <w:szCs w:val="32"/>
          <w:highlight w:val="none"/>
          <w:u w:val="none"/>
          <w:lang w:val="en-US" w:eastAsia="zh-CN" w:bidi="ar"/>
          <w14:ligatures w14:val="standardContextual"/>
        </w:rPr>
        <w:t>市直园区管委会应当按照市人民政府的要求，统筹做好本区域内养老机构的管理工作。</w:t>
      </w:r>
    </w:p>
    <w:p w14:paraId="5B1A1213">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74" w:lineRule="exact"/>
        <w:ind w:left="0" w:leftChars="0" w:right="0" w:firstLine="640" w:firstLineChars="200"/>
        <w:jc w:val="both"/>
        <w:textAlignment w:val="auto"/>
        <w:rPr>
          <w:rFonts w:hint="eastAsia" w:ascii="Times New Roman" w:hAnsi="Times New Roman" w:eastAsia="方正仿宋_GBK" w:cs="方正仿宋_GBK"/>
          <w:color w:val="auto"/>
          <w:kern w:val="44"/>
          <w:sz w:val="32"/>
          <w:szCs w:val="32"/>
          <w:highlight w:val="none"/>
          <w:u w:val="none"/>
          <w:lang w:val="en-US" w:eastAsia="zh-CN" w:bidi="ar"/>
          <w14:ligatures w14:val="standardContextual"/>
        </w:rPr>
      </w:pPr>
      <w:r>
        <w:rPr>
          <w:rFonts w:hint="eastAsia" w:ascii="Times New Roman" w:hAnsi="Times New Roman" w:eastAsia="方正黑体_GBK" w:cs="方正黑体_GBK"/>
          <w:color w:val="auto"/>
          <w:spacing w:val="0"/>
          <w:kern w:val="21"/>
          <w:sz w:val="32"/>
          <w:szCs w:val="32"/>
          <w:highlight w:val="none"/>
          <w:u w:val="none"/>
          <w:lang w:val="en-US" w:eastAsia="zh-CN" w:bidi="ar"/>
          <w14:ligatures w14:val="standardContextual"/>
        </w:rPr>
        <w:t>第四条（部门职责）</w:t>
      </w:r>
      <w:r>
        <w:rPr>
          <w:rFonts w:hint="eastAsia" w:ascii="Times New Roman" w:hAnsi="Times New Roman" w:eastAsia="方正仿宋_GBK" w:cs="方正仿宋_GBK"/>
          <w:color w:val="auto"/>
          <w:kern w:val="44"/>
          <w:sz w:val="32"/>
          <w:szCs w:val="32"/>
          <w:highlight w:val="none"/>
          <w:u w:val="none"/>
          <w:lang w:val="en-US" w:eastAsia="zh-CN" w:bidi="ar"/>
          <w14:ligatures w14:val="standardContextual"/>
        </w:rPr>
        <w:t>市、县（市、区）各部门分工合作，加强对养老机构的业务指导和监督管理。</w:t>
      </w:r>
    </w:p>
    <w:p w14:paraId="0AE56C4C">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74" w:lineRule="exact"/>
        <w:ind w:left="0" w:leftChars="0" w:right="0" w:firstLine="640" w:firstLineChars="200"/>
        <w:jc w:val="both"/>
        <w:textAlignment w:val="auto"/>
        <w:rPr>
          <w:rFonts w:hint="eastAsia" w:ascii="Times New Roman" w:hAnsi="Times New Roman" w:eastAsia="方正仿宋_GBK" w:cs="方正仿宋_GBK"/>
          <w:color w:val="auto"/>
          <w:kern w:val="44"/>
          <w:sz w:val="32"/>
          <w:szCs w:val="32"/>
          <w:highlight w:val="none"/>
          <w:u w:val="none"/>
          <w:lang w:val="en-US" w:eastAsia="zh-CN" w:bidi="ar"/>
          <w14:ligatures w14:val="standardContextual"/>
        </w:rPr>
      </w:pPr>
      <w:r>
        <w:rPr>
          <w:rFonts w:hint="eastAsia" w:ascii="Times New Roman" w:hAnsi="Times New Roman" w:eastAsia="方正仿宋_GBK" w:cs="方正仿宋_GBK"/>
          <w:color w:val="auto"/>
          <w:kern w:val="44"/>
          <w:sz w:val="32"/>
          <w:szCs w:val="32"/>
          <w:highlight w:val="none"/>
          <w:u w:val="none"/>
          <w:lang w:val="en-US" w:eastAsia="zh-CN" w:bidi="ar"/>
          <w14:ligatures w14:val="standardContextual"/>
        </w:rPr>
        <w:t>民政部门负责本行政区域内养老机构的统筹指导、日常管理和行业监督。</w:t>
      </w:r>
    </w:p>
    <w:p w14:paraId="5AEEDC7C">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74" w:lineRule="exact"/>
        <w:ind w:left="0" w:leftChars="0" w:right="0" w:firstLine="640" w:firstLineChars="200"/>
        <w:jc w:val="both"/>
        <w:textAlignment w:val="auto"/>
        <w:rPr>
          <w:rFonts w:hint="eastAsia" w:ascii="Times New Roman" w:hAnsi="Times New Roman" w:eastAsia="方正仿宋_GBK" w:cs="方正仿宋_GBK"/>
          <w:color w:val="auto"/>
          <w:kern w:val="44"/>
          <w:sz w:val="32"/>
          <w:szCs w:val="32"/>
          <w:highlight w:val="none"/>
          <w:u w:val="none"/>
          <w:lang w:val="en-US" w:eastAsia="zh-CN" w:bidi="ar"/>
          <w14:ligatures w14:val="standardContextual"/>
        </w:rPr>
      </w:pPr>
      <w:r>
        <w:rPr>
          <w:rFonts w:hint="eastAsia" w:ascii="Times New Roman" w:hAnsi="Times New Roman" w:eastAsia="方正仿宋_GBK" w:cs="方正仿宋_GBK"/>
          <w:color w:val="auto"/>
          <w:kern w:val="44"/>
          <w:sz w:val="32"/>
          <w:szCs w:val="32"/>
          <w:highlight w:val="none"/>
          <w:u w:val="none"/>
          <w:lang w:val="en-US" w:eastAsia="zh-CN" w:bidi="ar"/>
          <w14:ligatures w14:val="standardContextual"/>
        </w:rPr>
        <w:t>发展改革部门会同民政、财政部门，按照规定程序统筹安排养老服务设施建设中央预算内投资。按照定价权限，依法制定和调整政府定价范围内的养老机构收费标准。</w:t>
      </w:r>
    </w:p>
    <w:p w14:paraId="19E86DC8">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74" w:lineRule="exact"/>
        <w:ind w:left="0" w:leftChars="0" w:right="0" w:firstLine="640" w:firstLineChars="200"/>
        <w:jc w:val="both"/>
        <w:textAlignment w:val="auto"/>
        <w:rPr>
          <w:rFonts w:hint="eastAsia" w:ascii="Times New Roman" w:hAnsi="Times New Roman" w:eastAsia="方正仿宋_GBK" w:cs="方正仿宋_GBK"/>
          <w:color w:val="auto"/>
          <w:kern w:val="44"/>
          <w:sz w:val="32"/>
          <w:szCs w:val="32"/>
          <w:highlight w:val="none"/>
          <w:u w:val="none"/>
          <w:lang w:val="en-US" w:eastAsia="zh-CN" w:bidi="ar"/>
          <w14:ligatures w14:val="standardContextual"/>
        </w:rPr>
      </w:pPr>
      <w:r>
        <w:rPr>
          <w:rFonts w:hint="eastAsia" w:ascii="Times New Roman" w:hAnsi="Times New Roman" w:eastAsia="方正仿宋_GBK" w:cs="方正仿宋_GBK"/>
          <w:color w:val="auto"/>
          <w:kern w:val="44"/>
          <w:sz w:val="32"/>
          <w:szCs w:val="32"/>
          <w:highlight w:val="none"/>
          <w:u w:val="none"/>
          <w:lang w:val="en-US" w:eastAsia="zh-CN" w:bidi="ar"/>
          <w14:ligatures w14:val="standardContextual"/>
        </w:rPr>
        <w:t>公安部门负责养老机构内部治安保卫工作的指导，开展安全教育宣传和依法查处涉老违法犯罪。</w:t>
      </w:r>
    </w:p>
    <w:p w14:paraId="0E61836E">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74" w:lineRule="exact"/>
        <w:ind w:left="0" w:leftChars="0" w:right="0" w:firstLine="640" w:firstLineChars="200"/>
        <w:jc w:val="both"/>
        <w:textAlignment w:val="auto"/>
        <w:rPr>
          <w:rFonts w:hint="eastAsia" w:ascii="Times New Roman" w:hAnsi="Times New Roman" w:eastAsia="方正仿宋_GBK" w:cs="方正仿宋_GBK"/>
          <w:color w:val="auto"/>
          <w:kern w:val="44"/>
          <w:sz w:val="32"/>
          <w:szCs w:val="32"/>
          <w:highlight w:val="none"/>
          <w:u w:val="none"/>
          <w:lang w:val="en-US" w:eastAsia="zh-CN" w:bidi="ar"/>
          <w14:ligatures w14:val="standardContextual"/>
        </w:rPr>
      </w:pPr>
      <w:r>
        <w:rPr>
          <w:rFonts w:hint="eastAsia" w:ascii="Times New Roman" w:hAnsi="Times New Roman" w:eastAsia="方正仿宋_GBK" w:cs="方正仿宋_GBK"/>
          <w:color w:val="auto"/>
          <w:kern w:val="44"/>
          <w:sz w:val="32"/>
          <w:szCs w:val="32"/>
          <w:highlight w:val="none"/>
          <w:u w:val="none"/>
          <w:lang w:val="en-US" w:eastAsia="zh-CN" w:bidi="ar"/>
          <w14:ligatures w14:val="standardContextual"/>
        </w:rPr>
        <w:t>人力资源社会保障部门负责指导和规范养老机构劳动用工管理，指导从业人员职业技能培训、职业技能等级认定，监督落实社会保险政策及权益保障，依法处理劳动争议。</w:t>
      </w:r>
    </w:p>
    <w:p w14:paraId="5F331D8A">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74" w:lineRule="exact"/>
        <w:ind w:left="0" w:leftChars="0" w:right="0" w:firstLine="640" w:firstLineChars="200"/>
        <w:jc w:val="both"/>
        <w:textAlignment w:val="auto"/>
        <w:rPr>
          <w:rFonts w:hint="eastAsia" w:ascii="Times New Roman" w:hAnsi="Times New Roman" w:eastAsia="方正仿宋_GBK" w:cs="方正仿宋_GBK"/>
          <w:color w:val="auto"/>
          <w:kern w:val="44"/>
          <w:sz w:val="32"/>
          <w:szCs w:val="32"/>
          <w:highlight w:val="none"/>
          <w:u w:val="none"/>
          <w:lang w:val="en-US" w:eastAsia="zh-CN" w:bidi="ar"/>
          <w14:ligatures w14:val="standardContextual"/>
        </w:rPr>
      </w:pPr>
      <w:r>
        <w:rPr>
          <w:rFonts w:hint="eastAsia" w:ascii="Times New Roman" w:hAnsi="Times New Roman" w:eastAsia="方正仿宋_GBK" w:cs="方正仿宋_GBK"/>
          <w:color w:val="auto"/>
          <w:kern w:val="44"/>
          <w:sz w:val="32"/>
          <w:szCs w:val="32"/>
          <w:highlight w:val="none"/>
          <w:u w:val="none"/>
          <w:lang w:val="en-US" w:eastAsia="zh-CN" w:bidi="ar"/>
          <w14:ligatures w14:val="standardContextual"/>
        </w:rPr>
        <w:t>住房城乡建设部门负责指导全市养老机构（项目）建设工程消防设计审查、消防验收、备案与抽查工作。</w:t>
      </w:r>
    </w:p>
    <w:p w14:paraId="3C61AB6D">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74" w:lineRule="exact"/>
        <w:ind w:left="0" w:leftChars="0" w:right="0" w:firstLine="640" w:firstLineChars="200"/>
        <w:jc w:val="both"/>
        <w:textAlignment w:val="auto"/>
        <w:rPr>
          <w:rFonts w:hint="eastAsia" w:ascii="Times New Roman" w:hAnsi="Times New Roman" w:eastAsia="方正仿宋_GBK" w:cs="方正仿宋_GBK"/>
          <w:color w:val="auto"/>
          <w:kern w:val="44"/>
          <w:sz w:val="32"/>
          <w:szCs w:val="32"/>
          <w:highlight w:val="none"/>
          <w:u w:val="none"/>
          <w:lang w:val="en-US" w:eastAsia="zh-CN" w:bidi="ar"/>
          <w14:ligatures w14:val="standardContextual"/>
        </w:rPr>
      </w:pPr>
      <w:r>
        <w:rPr>
          <w:rFonts w:hint="eastAsia" w:ascii="Times New Roman" w:hAnsi="Times New Roman" w:eastAsia="方正仿宋_GBK" w:cs="方正仿宋_GBK"/>
          <w:color w:val="auto"/>
          <w:kern w:val="44"/>
          <w:sz w:val="32"/>
          <w:szCs w:val="32"/>
          <w:highlight w:val="none"/>
          <w:u w:val="none"/>
          <w:lang w:val="en-US" w:eastAsia="zh-CN" w:bidi="ar"/>
          <w14:ligatures w14:val="standardContextual"/>
        </w:rPr>
        <w:t>卫生健康部门负责养老机构内设医疗机构的准入审批管理、医养结合工作推进、医疗质量监管、指导健全老年人健康管理服务体系。</w:t>
      </w:r>
    </w:p>
    <w:p w14:paraId="53CB9557">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74" w:lineRule="exact"/>
        <w:ind w:left="0" w:leftChars="0" w:right="0" w:firstLine="640" w:firstLineChars="200"/>
        <w:jc w:val="both"/>
        <w:textAlignment w:val="auto"/>
        <w:rPr>
          <w:rFonts w:hint="eastAsia" w:ascii="Times New Roman" w:hAnsi="Times New Roman" w:eastAsia="方正仿宋_GBK" w:cs="方正仿宋_GBK"/>
          <w:color w:val="auto"/>
          <w:kern w:val="44"/>
          <w:sz w:val="32"/>
          <w:szCs w:val="32"/>
          <w:highlight w:val="none"/>
          <w:u w:val="none"/>
          <w:lang w:val="en-US" w:eastAsia="zh-CN" w:bidi="ar"/>
          <w14:ligatures w14:val="standardContextual"/>
        </w:rPr>
      </w:pPr>
      <w:r>
        <w:rPr>
          <w:rFonts w:hint="eastAsia" w:ascii="Times New Roman" w:hAnsi="Times New Roman" w:eastAsia="方正仿宋_GBK" w:cs="方正仿宋_GBK"/>
          <w:color w:val="auto"/>
          <w:kern w:val="44"/>
          <w:sz w:val="32"/>
          <w:szCs w:val="32"/>
          <w:highlight w:val="none"/>
          <w:u w:val="none"/>
          <w:lang w:val="en-US" w:eastAsia="zh-CN" w:bidi="ar"/>
          <w14:ligatures w14:val="standardContextual"/>
        </w:rPr>
        <w:t>市场监管部门负责食品药品安全及特种设备安全监管，对价格违法行为进行查处。</w:t>
      </w:r>
    </w:p>
    <w:p w14:paraId="7246C654">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74" w:lineRule="exact"/>
        <w:ind w:left="0" w:leftChars="0" w:right="0" w:firstLine="640" w:firstLineChars="200"/>
        <w:jc w:val="both"/>
        <w:textAlignment w:val="auto"/>
        <w:rPr>
          <w:rFonts w:hint="eastAsia" w:ascii="Times New Roman" w:hAnsi="Times New Roman" w:eastAsia="方正仿宋_GBK" w:cs="方正仿宋_GBK"/>
          <w:color w:val="auto"/>
          <w:kern w:val="44"/>
          <w:sz w:val="32"/>
          <w:szCs w:val="32"/>
          <w:highlight w:val="none"/>
          <w:u w:val="none"/>
          <w:lang w:val="en-US" w:eastAsia="zh-CN" w:bidi="ar"/>
          <w14:ligatures w14:val="standardContextual"/>
        </w:rPr>
      </w:pPr>
      <w:r>
        <w:rPr>
          <w:rFonts w:hint="eastAsia" w:ascii="Times New Roman" w:hAnsi="Times New Roman" w:eastAsia="方正仿宋_GBK" w:cs="方正仿宋_GBK"/>
          <w:color w:val="auto"/>
          <w:kern w:val="44"/>
          <w:sz w:val="32"/>
          <w:szCs w:val="32"/>
          <w:highlight w:val="none"/>
          <w:u w:val="none"/>
          <w:lang w:val="en-US" w:eastAsia="zh-CN" w:bidi="ar"/>
          <w14:ligatures w14:val="standardContextual"/>
        </w:rPr>
        <w:t>医疗保障部门负责组织实施长期护理保险，完善医养结合服务医保支付政策。</w:t>
      </w:r>
    </w:p>
    <w:p w14:paraId="2286B03B">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74" w:lineRule="exact"/>
        <w:ind w:left="0" w:leftChars="0" w:right="0" w:firstLine="640" w:firstLineChars="200"/>
        <w:jc w:val="both"/>
        <w:textAlignment w:val="auto"/>
        <w:rPr>
          <w:rFonts w:hint="eastAsia" w:ascii="Times New Roman" w:hAnsi="Times New Roman" w:eastAsia="方正仿宋_GBK" w:cs="方正仿宋_GBK"/>
          <w:color w:val="auto"/>
          <w:kern w:val="44"/>
          <w:sz w:val="32"/>
          <w:szCs w:val="32"/>
          <w:highlight w:val="none"/>
          <w:u w:val="none"/>
          <w:lang w:val="en-US" w:eastAsia="zh-CN" w:bidi="ar"/>
          <w14:ligatures w14:val="standardContextual"/>
        </w:rPr>
      </w:pPr>
      <w:r>
        <w:rPr>
          <w:rFonts w:hint="eastAsia" w:ascii="Times New Roman" w:hAnsi="Times New Roman" w:eastAsia="方正仿宋_GBK" w:cs="方正仿宋_GBK"/>
          <w:color w:val="auto"/>
          <w:kern w:val="44"/>
          <w:sz w:val="32"/>
          <w:szCs w:val="32"/>
          <w:highlight w:val="none"/>
          <w:u w:val="none"/>
          <w:lang w:val="en-US" w:eastAsia="zh-CN" w:bidi="ar"/>
          <w14:ligatures w14:val="standardContextual"/>
        </w:rPr>
        <w:t>消防救援机构依法监督养老机构履行消防安全责任，查处消防安全违法行为，组织开展火灾事故调查处理，承担灭火救援职责，督促和指导养老机构做好消防宣传教育工作，支持开展常态化消防公益培训。</w:t>
      </w:r>
    </w:p>
    <w:p w14:paraId="4900BE7C">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74" w:lineRule="exact"/>
        <w:ind w:left="0" w:leftChars="0" w:right="0" w:firstLine="640" w:firstLineChars="200"/>
        <w:jc w:val="both"/>
        <w:textAlignment w:val="auto"/>
        <w:rPr>
          <w:rFonts w:hint="eastAsia" w:ascii="Times New Roman" w:hAnsi="Times New Roman" w:eastAsia="方正黑体_GBK" w:cs="方正黑体_GBK"/>
          <w:color w:val="auto"/>
          <w:spacing w:val="0"/>
          <w:kern w:val="21"/>
          <w:sz w:val="32"/>
          <w:szCs w:val="32"/>
          <w:highlight w:val="none"/>
          <w:u w:val="none"/>
          <w:lang w:val="en-US" w:eastAsia="zh-CN" w:bidi="ar"/>
          <w14:ligatures w14:val="standardContextual"/>
        </w:rPr>
      </w:pPr>
      <w:r>
        <w:rPr>
          <w:rFonts w:hint="eastAsia" w:ascii="Times New Roman" w:hAnsi="Times New Roman" w:eastAsia="方正仿宋_GBK" w:cs="方正仿宋_GBK"/>
          <w:color w:val="auto"/>
          <w:kern w:val="44"/>
          <w:sz w:val="32"/>
          <w:szCs w:val="32"/>
          <w:highlight w:val="none"/>
          <w:u w:val="none"/>
          <w:lang w:val="en-US" w:eastAsia="zh-CN" w:bidi="ar"/>
          <w14:ligatures w14:val="standardContextual"/>
        </w:rPr>
        <w:t>财政、自然资源规划、应急管理、审计、金融监管等有关部门按照各自职责，做好养老机构的发展与监督管理工作。</w:t>
      </w:r>
    </w:p>
    <w:p w14:paraId="6073B863">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74" w:lineRule="exact"/>
        <w:ind w:left="0" w:leftChars="0" w:right="0" w:firstLine="640" w:firstLineChars="200"/>
        <w:jc w:val="both"/>
        <w:textAlignment w:val="auto"/>
        <w:rPr>
          <w:rFonts w:hint="eastAsia" w:ascii="Times New Roman" w:hAnsi="Times New Roman" w:eastAsia="方正仿宋_GBK" w:cs="方正仿宋_GBK"/>
          <w:color w:val="auto"/>
          <w:spacing w:val="0"/>
          <w:kern w:val="21"/>
          <w:sz w:val="32"/>
          <w:szCs w:val="32"/>
          <w:highlight w:val="none"/>
          <w:u w:val="none"/>
          <w:lang w:val="en-US" w:eastAsia="zh-CN" w:bidi="ar"/>
          <w14:ligatures w14:val="standardContextual"/>
        </w:rPr>
      </w:pPr>
      <w:r>
        <w:rPr>
          <w:rFonts w:hint="eastAsia" w:ascii="Times New Roman" w:hAnsi="Times New Roman" w:eastAsia="方正黑体_GBK" w:cs="方正黑体_GBK"/>
          <w:color w:val="auto"/>
          <w:spacing w:val="0"/>
          <w:kern w:val="21"/>
          <w:sz w:val="32"/>
          <w:szCs w:val="32"/>
          <w:highlight w:val="none"/>
          <w:u w:val="none"/>
          <w:lang w:val="en-US" w:eastAsia="zh-CN" w:bidi="ar"/>
          <w14:ligatures w14:val="standardContextual"/>
        </w:rPr>
        <w:t>第五条（规划用地）</w:t>
      </w:r>
      <w:r>
        <w:rPr>
          <w:rFonts w:hint="eastAsia" w:ascii="Times New Roman" w:hAnsi="Times New Roman" w:eastAsia="方正仿宋_GBK" w:cs="方正仿宋_GBK"/>
          <w:color w:val="auto"/>
          <w:spacing w:val="0"/>
          <w:kern w:val="21"/>
          <w:sz w:val="32"/>
          <w:szCs w:val="32"/>
          <w:highlight w:val="none"/>
          <w:u w:val="none"/>
          <w:lang w:val="en-US" w:eastAsia="zh-CN" w:bidi="ar"/>
          <w14:ligatures w14:val="standardContextual"/>
        </w:rPr>
        <w:t>市、县（市、区）人民政府编制国土空间规划应当按照人均用地面积不少于0.2平方米的标准配置养老服务设施，并逐步优化调整。涉及新增建设用地的，纳入土地利用年度计划予以保障。</w:t>
      </w:r>
    </w:p>
    <w:p w14:paraId="16C98BC0">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74" w:lineRule="exact"/>
        <w:ind w:left="0" w:leftChars="0" w:right="0" w:firstLine="640" w:firstLineChars="200"/>
        <w:jc w:val="both"/>
        <w:textAlignment w:val="auto"/>
        <w:rPr>
          <w:rFonts w:hint="default" w:ascii="Times New Roman" w:hAnsi="Times New Roman" w:eastAsia="方正仿宋_GBK" w:cs="方正仿宋_GBK"/>
          <w:color w:val="auto"/>
          <w:spacing w:val="0"/>
          <w:kern w:val="21"/>
          <w:sz w:val="32"/>
          <w:szCs w:val="32"/>
          <w:highlight w:val="none"/>
          <w:u w:val="none"/>
          <w:lang w:val="en-US" w:eastAsia="zh-CN" w:bidi="ar"/>
          <w14:ligatures w14:val="standardContextual"/>
        </w:rPr>
      </w:pPr>
      <w:r>
        <w:rPr>
          <w:rFonts w:hint="eastAsia" w:ascii="Times New Roman" w:hAnsi="Times New Roman" w:eastAsia="方正仿宋_GBK" w:cs="方正仿宋_GBK"/>
          <w:color w:val="auto"/>
          <w:spacing w:val="0"/>
          <w:kern w:val="21"/>
          <w:sz w:val="32"/>
          <w:szCs w:val="32"/>
          <w:highlight w:val="none"/>
          <w:u w:val="none"/>
          <w:lang w:val="en-US" w:eastAsia="zh-CN" w:bidi="ar"/>
          <w14:ligatures w14:val="standardContextual"/>
        </w:rPr>
        <w:t>市、县（市、区）民政部门应当根据经济社会发展水平、人口老龄化发展趋势、养老服务需求状况等情况，会同自然资源规划等有关部门制定养老服务设施专项规划，同级人民政府批准实施。</w:t>
      </w:r>
    </w:p>
    <w:p w14:paraId="2D4251A7">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beforeAutospacing="0" w:after="0" w:afterAutospacing="0" w:line="574" w:lineRule="exact"/>
        <w:ind w:right="0" w:rightChars="0" w:firstLine="640" w:firstLineChars="200"/>
        <w:jc w:val="both"/>
        <w:textAlignment w:val="auto"/>
        <w:rPr>
          <w:rFonts w:hint="eastAsia" w:ascii="Times New Roman" w:hAnsi="Times New Roman" w:eastAsia="方正仿宋_GBK" w:cs="方正仿宋_GBK"/>
          <w:color w:val="auto"/>
          <w:spacing w:val="0"/>
          <w:kern w:val="21"/>
          <w:sz w:val="32"/>
          <w:szCs w:val="32"/>
          <w:highlight w:val="none"/>
          <w:u w:val="none"/>
          <w:lang w:val="en-US" w:eastAsia="zh-CN" w:bidi="ar"/>
          <w14:ligatures w14:val="standardContextual"/>
        </w:rPr>
      </w:pPr>
      <w:r>
        <w:rPr>
          <w:rFonts w:hint="eastAsia" w:ascii="Times New Roman" w:hAnsi="Times New Roman" w:eastAsia="方正仿宋_GBK" w:cs="方正仿宋_GBK"/>
          <w:color w:val="auto"/>
          <w:spacing w:val="0"/>
          <w:kern w:val="21"/>
          <w:sz w:val="32"/>
          <w:szCs w:val="32"/>
          <w:highlight w:val="none"/>
          <w:u w:val="none"/>
          <w:lang w:val="en-US" w:eastAsia="zh-CN" w:bidi="ar"/>
          <w14:ligatures w14:val="standardContextual"/>
        </w:rPr>
        <w:t>乡镇人民政府组织编制乡镇国土空间规划、村庄规划时，应当根据本地实际情况，明确养老服务设施的规模和布局。</w:t>
      </w:r>
    </w:p>
    <w:p w14:paraId="0D14C9E4">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74" w:lineRule="exact"/>
        <w:ind w:left="0" w:leftChars="0" w:right="0" w:firstLine="640" w:firstLineChars="200"/>
        <w:jc w:val="both"/>
        <w:textAlignment w:val="auto"/>
        <w:rPr>
          <w:rFonts w:hint="eastAsia" w:ascii="Times New Roman" w:hAnsi="Times New Roman" w:eastAsia="方正仿宋_GBK" w:cs="方正仿宋_GBK"/>
          <w:b w:val="0"/>
          <w:bCs w:val="0"/>
          <w:color w:val="auto"/>
          <w:kern w:val="21"/>
          <w:sz w:val="32"/>
          <w:szCs w:val="32"/>
          <w:highlight w:val="none"/>
          <w:u w:val="none"/>
        </w:rPr>
      </w:pPr>
      <w:r>
        <w:rPr>
          <w:rFonts w:hint="eastAsia" w:ascii="Times New Roman" w:hAnsi="Times New Roman" w:eastAsia="方正黑体_GBK" w:cs="方正黑体_GBK"/>
          <w:color w:val="auto"/>
          <w:spacing w:val="0"/>
          <w:kern w:val="21"/>
          <w:sz w:val="32"/>
          <w:szCs w:val="32"/>
          <w:highlight w:val="none"/>
          <w:u w:val="none"/>
          <w:lang w:val="en-US" w:eastAsia="zh-CN" w:bidi="ar"/>
          <w14:ligatures w14:val="standardContextual"/>
        </w:rPr>
        <w:t>第六条（建设标准）</w:t>
      </w:r>
      <w:r>
        <w:rPr>
          <w:rFonts w:hint="eastAsia" w:ascii="Times New Roman" w:hAnsi="Times New Roman" w:eastAsia="方正仿宋_GBK" w:cs="方正仿宋_GBK"/>
          <w:b w:val="0"/>
          <w:bCs w:val="0"/>
          <w:color w:val="auto"/>
          <w:kern w:val="21"/>
          <w:sz w:val="32"/>
          <w:szCs w:val="32"/>
          <w:highlight w:val="none"/>
          <w:u w:val="none"/>
        </w:rPr>
        <w:t>养老</w:t>
      </w:r>
      <w:r>
        <w:rPr>
          <w:rFonts w:hint="eastAsia" w:ascii="Times New Roman" w:hAnsi="Times New Roman" w:eastAsia="方正仿宋_GBK" w:cs="方正仿宋_GBK"/>
          <w:b w:val="0"/>
          <w:bCs w:val="0"/>
          <w:color w:val="auto"/>
          <w:kern w:val="21"/>
          <w:sz w:val="32"/>
          <w:szCs w:val="32"/>
          <w:highlight w:val="none"/>
          <w:u w:val="none"/>
          <w:lang w:val="en-US" w:eastAsia="zh-CN"/>
        </w:rPr>
        <w:t>机构</w:t>
      </w:r>
      <w:r>
        <w:rPr>
          <w:rFonts w:hint="eastAsia" w:ascii="Times New Roman" w:hAnsi="Times New Roman" w:eastAsia="方正仿宋_GBK" w:cs="方正仿宋_GBK"/>
          <w:b w:val="0"/>
          <w:bCs w:val="0"/>
          <w:color w:val="auto"/>
          <w:kern w:val="21"/>
          <w:sz w:val="32"/>
          <w:szCs w:val="32"/>
          <w:highlight w:val="none"/>
          <w:u w:val="none"/>
        </w:rPr>
        <w:t>建设应当遵守</w:t>
      </w:r>
      <w:r>
        <w:rPr>
          <w:rFonts w:hint="eastAsia" w:ascii="Times New Roman" w:hAnsi="Times New Roman" w:eastAsia="方正仿宋_GBK" w:cs="方正仿宋_GBK"/>
          <w:b w:val="0"/>
          <w:bCs w:val="0"/>
          <w:color w:val="auto"/>
          <w:kern w:val="21"/>
          <w:sz w:val="32"/>
          <w:szCs w:val="32"/>
          <w:highlight w:val="none"/>
          <w:u w:val="none"/>
          <w:lang w:val="en-US" w:eastAsia="zh-CN"/>
        </w:rPr>
        <w:t>有</w:t>
      </w:r>
      <w:r>
        <w:rPr>
          <w:rFonts w:hint="eastAsia" w:ascii="Times New Roman" w:hAnsi="Times New Roman" w:eastAsia="方正仿宋_GBK" w:cs="方正仿宋_GBK"/>
          <w:b w:val="0"/>
          <w:bCs w:val="0"/>
          <w:color w:val="auto"/>
          <w:kern w:val="21"/>
          <w:sz w:val="32"/>
          <w:szCs w:val="32"/>
          <w:highlight w:val="none"/>
          <w:u w:val="none"/>
        </w:rPr>
        <w:t>关法律法规，符合国家</w:t>
      </w:r>
      <w:r>
        <w:rPr>
          <w:rFonts w:hint="eastAsia" w:ascii="Times New Roman" w:hAnsi="Times New Roman" w:eastAsia="方正仿宋_GBK" w:cs="方正仿宋_GBK"/>
          <w:b w:val="0"/>
          <w:bCs w:val="0"/>
          <w:color w:val="auto"/>
          <w:kern w:val="21"/>
          <w:sz w:val="32"/>
          <w:szCs w:val="32"/>
          <w:highlight w:val="none"/>
          <w:u w:val="none"/>
          <w:lang w:eastAsia="zh-CN"/>
        </w:rPr>
        <w:t>、</w:t>
      </w:r>
      <w:r>
        <w:rPr>
          <w:rFonts w:hint="eastAsia" w:ascii="Times New Roman" w:hAnsi="Times New Roman" w:eastAsia="方正仿宋_GBK" w:cs="方正仿宋_GBK"/>
          <w:b w:val="0"/>
          <w:bCs w:val="0"/>
          <w:color w:val="auto"/>
          <w:kern w:val="21"/>
          <w:sz w:val="32"/>
          <w:szCs w:val="32"/>
          <w:highlight w:val="none"/>
          <w:u w:val="none"/>
        </w:rPr>
        <w:t>省、市有关建设标准和技术规范，满足无障碍环境</w:t>
      </w:r>
      <w:r>
        <w:rPr>
          <w:rFonts w:hint="eastAsia" w:ascii="Times New Roman" w:hAnsi="Times New Roman" w:eastAsia="方正仿宋_GBK" w:cs="方正仿宋_GBK"/>
          <w:b w:val="0"/>
          <w:bCs w:val="0"/>
          <w:color w:val="auto"/>
          <w:kern w:val="21"/>
          <w:sz w:val="32"/>
          <w:szCs w:val="32"/>
          <w:highlight w:val="none"/>
          <w:u w:val="none"/>
          <w:lang w:val="en-US" w:eastAsia="zh-CN"/>
        </w:rPr>
        <w:t>建设</w:t>
      </w:r>
      <w:r>
        <w:rPr>
          <w:rFonts w:hint="eastAsia" w:ascii="Times New Roman" w:hAnsi="Times New Roman" w:eastAsia="方正仿宋_GBK" w:cs="方正仿宋_GBK"/>
          <w:b w:val="0"/>
          <w:bCs w:val="0"/>
          <w:color w:val="auto"/>
          <w:kern w:val="21"/>
          <w:sz w:val="32"/>
          <w:szCs w:val="32"/>
          <w:highlight w:val="none"/>
          <w:u w:val="none"/>
        </w:rPr>
        <w:t>、</w:t>
      </w:r>
      <w:r>
        <w:rPr>
          <w:rFonts w:hint="eastAsia" w:ascii="Times New Roman" w:hAnsi="Times New Roman" w:eastAsia="方正仿宋_GBK" w:cs="方正仿宋_GBK"/>
          <w:b w:val="0"/>
          <w:bCs w:val="0"/>
          <w:color w:val="auto"/>
          <w:kern w:val="21"/>
          <w:sz w:val="32"/>
          <w:szCs w:val="32"/>
          <w:highlight w:val="none"/>
          <w:u w:val="none"/>
          <w:lang w:val="en-US" w:eastAsia="zh-CN"/>
        </w:rPr>
        <w:t>建筑与设施安全、</w:t>
      </w:r>
      <w:r>
        <w:rPr>
          <w:rFonts w:hint="eastAsia" w:ascii="Times New Roman" w:hAnsi="Times New Roman" w:eastAsia="方正仿宋_GBK" w:cs="方正仿宋_GBK"/>
          <w:b w:val="0"/>
          <w:bCs w:val="0"/>
          <w:color w:val="auto"/>
          <w:kern w:val="21"/>
          <w:sz w:val="32"/>
          <w:szCs w:val="32"/>
          <w:highlight w:val="none"/>
          <w:u w:val="none"/>
        </w:rPr>
        <w:t>消防安全、治安保卫安全</w:t>
      </w:r>
      <w:r>
        <w:rPr>
          <w:rFonts w:hint="eastAsia" w:ascii="Times New Roman" w:hAnsi="Times New Roman" w:eastAsia="方正仿宋_GBK" w:cs="方正仿宋_GBK"/>
          <w:b w:val="0"/>
          <w:bCs w:val="0"/>
          <w:color w:val="auto"/>
          <w:kern w:val="21"/>
          <w:sz w:val="32"/>
          <w:szCs w:val="32"/>
          <w:highlight w:val="none"/>
          <w:u w:val="none"/>
          <w:lang w:eastAsia="zh-CN"/>
        </w:rPr>
        <w:t>、</w:t>
      </w:r>
      <w:r>
        <w:rPr>
          <w:rFonts w:hint="eastAsia" w:ascii="Times New Roman" w:hAnsi="Times New Roman" w:eastAsia="方正仿宋_GBK" w:cs="方正仿宋_GBK"/>
          <w:b w:val="0"/>
          <w:bCs w:val="0"/>
          <w:color w:val="auto"/>
          <w:kern w:val="21"/>
          <w:sz w:val="32"/>
          <w:szCs w:val="32"/>
          <w:highlight w:val="none"/>
          <w:u w:val="none"/>
          <w:lang w:val="en-US" w:eastAsia="zh-CN"/>
        </w:rPr>
        <w:t>特种设备、</w:t>
      </w:r>
      <w:r>
        <w:rPr>
          <w:rFonts w:hint="eastAsia" w:ascii="Times New Roman" w:hAnsi="Times New Roman" w:eastAsia="方正仿宋_GBK" w:cs="方正仿宋_GBK"/>
          <w:b w:val="0"/>
          <w:bCs w:val="0"/>
          <w:color w:val="auto"/>
          <w:kern w:val="21"/>
          <w:sz w:val="32"/>
          <w:szCs w:val="32"/>
          <w:highlight w:val="none"/>
          <w:u w:val="none"/>
        </w:rPr>
        <w:t>环境保护、卫生防疫等相关要求。</w:t>
      </w:r>
    </w:p>
    <w:p w14:paraId="09FF2307">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74" w:lineRule="exact"/>
        <w:ind w:left="0" w:leftChars="0" w:right="0" w:firstLine="640" w:firstLineChars="200"/>
        <w:jc w:val="both"/>
        <w:textAlignment w:val="auto"/>
        <w:rPr>
          <w:rFonts w:hint="default" w:ascii="Times New Roman" w:hAnsi="Times New Roman" w:eastAsia="方正仿宋_GBK" w:cs="方正仿宋_GBK"/>
          <w:b w:val="0"/>
          <w:bCs w:val="0"/>
          <w:color w:val="auto"/>
          <w:kern w:val="21"/>
          <w:sz w:val="32"/>
          <w:szCs w:val="32"/>
          <w:highlight w:val="yellow"/>
          <w:u w:val="none"/>
          <w:lang w:val="en-US" w:eastAsia="zh-CN"/>
        </w:rPr>
      </w:pPr>
      <w:r>
        <w:rPr>
          <w:rFonts w:hint="eastAsia" w:ascii="Times New Roman" w:hAnsi="Times New Roman" w:eastAsia="方正黑体_GBK" w:cs="方正黑体_GBK"/>
          <w:color w:val="auto"/>
          <w:spacing w:val="0"/>
          <w:kern w:val="21"/>
          <w:sz w:val="32"/>
          <w:szCs w:val="32"/>
          <w:highlight w:val="none"/>
          <w:u w:val="none"/>
          <w:lang w:val="en-US" w:eastAsia="zh-CN" w:bidi="ar"/>
          <w14:ligatures w14:val="standardContextual"/>
        </w:rPr>
        <w:t>第七条（机构设立、变更与退出）</w:t>
      </w:r>
      <w:r>
        <w:rPr>
          <w:rFonts w:hint="eastAsia" w:ascii="Times New Roman" w:hAnsi="Times New Roman" w:eastAsia="方正仿宋_GBK" w:cs="方正仿宋_GBK"/>
          <w:b w:val="0"/>
          <w:bCs w:val="0"/>
          <w:color w:val="auto"/>
          <w:kern w:val="21"/>
          <w:sz w:val="32"/>
          <w:szCs w:val="32"/>
          <w:highlight w:val="none"/>
          <w:u w:val="none"/>
          <w:lang w:val="en-US" w:eastAsia="zh-CN"/>
        </w:rPr>
        <w:t>养老机构应当依法办理设立、变更、注销等手续，其运营活动应当符合国家、省、市有关养老服务的规范和标准。</w:t>
      </w:r>
    </w:p>
    <w:p w14:paraId="72978E1F">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74" w:lineRule="exact"/>
        <w:ind w:left="0" w:leftChars="0" w:right="0" w:firstLine="640" w:firstLineChars="200"/>
        <w:jc w:val="both"/>
        <w:textAlignment w:val="auto"/>
        <w:rPr>
          <w:rFonts w:hint="eastAsia" w:ascii="Times New Roman" w:hAnsi="Times New Roman" w:eastAsia="方正仿宋_GBK" w:cs="方正仿宋_GBK"/>
          <w:b w:val="0"/>
          <w:bCs w:val="0"/>
          <w:color w:val="auto"/>
          <w:kern w:val="21"/>
          <w:sz w:val="32"/>
          <w:szCs w:val="32"/>
          <w:highlight w:val="none"/>
          <w:u w:val="none"/>
          <w:lang w:val="en-US" w:eastAsia="zh-CN"/>
        </w:rPr>
      </w:pPr>
      <w:r>
        <w:rPr>
          <w:rFonts w:hint="eastAsia" w:ascii="Times New Roman" w:hAnsi="Times New Roman" w:eastAsia="方正仿宋_GBK" w:cs="方正仿宋_GBK"/>
          <w:b w:val="0"/>
          <w:bCs w:val="0"/>
          <w:color w:val="auto"/>
          <w:kern w:val="21"/>
          <w:sz w:val="32"/>
          <w:szCs w:val="32"/>
          <w:highlight w:val="none"/>
          <w:u w:val="none"/>
          <w:lang w:val="en-US" w:eastAsia="zh-CN"/>
        </w:rPr>
        <w:t>养老机构因停业整顿、变更、解散、被宣告破产等原因暂停、终止服务的，应当在暂停或者终止服务前三十日向养老机构所在地</w:t>
      </w:r>
      <w:r>
        <w:rPr>
          <w:rFonts w:hint="eastAsia" w:ascii="Times New Roman" w:hAnsi="Times New Roman" w:eastAsia="方正仿宋_GBK" w:cs="方正仿宋_GBK"/>
          <w:b w:val="0"/>
          <w:bCs w:val="0"/>
          <w:color w:val="auto"/>
          <w:kern w:val="21"/>
          <w:sz w:val="32"/>
          <w:szCs w:val="32"/>
          <w:highlight w:val="none"/>
          <w:u w:val="none"/>
        </w:rPr>
        <w:t>县</w:t>
      </w:r>
      <w:r>
        <w:rPr>
          <w:rFonts w:hint="eastAsia" w:ascii="Times New Roman" w:hAnsi="Times New Roman" w:eastAsia="方正仿宋_GBK" w:cs="方正仿宋_GBK"/>
          <w:b w:val="0"/>
          <w:bCs w:val="0"/>
          <w:color w:val="auto"/>
          <w:kern w:val="21"/>
          <w:sz w:val="32"/>
          <w:szCs w:val="32"/>
          <w:highlight w:val="none"/>
          <w:u w:val="none"/>
          <w:lang w:eastAsia="zh-CN"/>
        </w:rPr>
        <w:t>（</w:t>
      </w:r>
      <w:r>
        <w:rPr>
          <w:rFonts w:hint="eastAsia" w:ascii="Times New Roman" w:hAnsi="Times New Roman" w:eastAsia="方正仿宋_GBK" w:cs="方正仿宋_GBK"/>
          <w:b w:val="0"/>
          <w:bCs w:val="0"/>
          <w:color w:val="auto"/>
          <w:kern w:val="21"/>
          <w:sz w:val="32"/>
          <w:szCs w:val="32"/>
          <w:highlight w:val="none"/>
          <w:u w:val="none"/>
        </w:rPr>
        <w:t>市、区</w:t>
      </w:r>
      <w:r>
        <w:rPr>
          <w:rFonts w:hint="eastAsia" w:ascii="Times New Roman" w:hAnsi="Times New Roman" w:eastAsia="方正仿宋_GBK" w:cs="方正仿宋_GBK"/>
          <w:b w:val="0"/>
          <w:bCs w:val="0"/>
          <w:color w:val="auto"/>
          <w:kern w:val="21"/>
          <w:sz w:val="32"/>
          <w:szCs w:val="32"/>
          <w:highlight w:val="none"/>
          <w:u w:val="none"/>
          <w:lang w:eastAsia="zh-CN"/>
        </w:rPr>
        <w:t>）</w:t>
      </w:r>
      <w:r>
        <w:rPr>
          <w:rFonts w:hint="eastAsia" w:ascii="Times New Roman" w:hAnsi="Times New Roman" w:eastAsia="方正仿宋_GBK" w:cs="方正仿宋_GBK"/>
          <w:b w:val="0"/>
          <w:bCs w:val="0"/>
          <w:color w:val="auto"/>
          <w:kern w:val="21"/>
          <w:sz w:val="32"/>
          <w:szCs w:val="32"/>
          <w:highlight w:val="none"/>
          <w:u w:val="none"/>
          <w:lang w:val="en-US" w:eastAsia="zh-CN"/>
        </w:rPr>
        <w:t>民政部门报告，提交老年人安置方案，并向社会公告。民政部门应当及时督促养老机构实施安置方案，并提供帮助。</w:t>
      </w:r>
    </w:p>
    <w:p w14:paraId="1BAC8497">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74" w:lineRule="exact"/>
        <w:ind w:left="0" w:leftChars="0" w:right="0" w:firstLine="640" w:firstLineChars="200"/>
        <w:jc w:val="both"/>
        <w:textAlignment w:val="auto"/>
        <w:rPr>
          <w:rFonts w:hint="eastAsia" w:ascii="Times New Roman" w:hAnsi="Times New Roman" w:eastAsia="方正仿宋_GBK" w:cs="方正仿宋_GBK"/>
          <w:b w:val="0"/>
          <w:bCs w:val="0"/>
          <w:color w:val="auto"/>
          <w:kern w:val="21"/>
          <w:sz w:val="32"/>
          <w:szCs w:val="32"/>
          <w:highlight w:val="yellow"/>
          <w:u w:val="none"/>
          <w:lang w:val="en-US" w:eastAsia="zh-CN"/>
        </w:rPr>
      </w:pPr>
      <w:r>
        <w:rPr>
          <w:rFonts w:hint="eastAsia" w:ascii="Times New Roman" w:hAnsi="Times New Roman" w:eastAsia="方正仿宋_GBK" w:cs="方正仿宋_GBK"/>
          <w:b w:val="0"/>
          <w:bCs w:val="0"/>
          <w:color w:val="auto"/>
          <w:kern w:val="21"/>
          <w:sz w:val="32"/>
          <w:szCs w:val="32"/>
          <w:highlight w:val="none"/>
          <w:u w:val="none"/>
          <w:lang w:val="en-US" w:eastAsia="zh-CN"/>
        </w:rPr>
        <w:t>养老机构收取预收费的，应当自终止之日起一个月内退还服务对象预收费用余额，妥善解决后续服务问题。</w:t>
      </w:r>
    </w:p>
    <w:p w14:paraId="22905165">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74" w:lineRule="exact"/>
        <w:ind w:left="0" w:leftChars="0" w:right="0" w:firstLine="640" w:firstLineChars="200"/>
        <w:jc w:val="both"/>
        <w:textAlignment w:val="auto"/>
        <w:rPr>
          <w:rFonts w:hint="eastAsia" w:ascii="Times New Roman" w:hAnsi="Times New Roman" w:eastAsia="方正仿宋_GBK" w:cs="方正仿宋_GBK"/>
          <w:color w:val="auto"/>
          <w:spacing w:val="0"/>
          <w:kern w:val="21"/>
          <w:sz w:val="32"/>
          <w:szCs w:val="32"/>
          <w:highlight w:val="none"/>
          <w:u w:val="none"/>
          <w:lang w:val="en-US" w:eastAsia="zh-CN" w:bidi="ar"/>
          <w14:ligatures w14:val="standardContextual"/>
        </w:rPr>
      </w:pPr>
      <w:r>
        <w:rPr>
          <w:rFonts w:hint="eastAsia" w:ascii="Times New Roman" w:hAnsi="Times New Roman" w:eastAsia="方正黑体_GBK" w:cs="方正黑体_GBK"/>
          <w:color w:val="auto"/>
          <w:spacing w:val="0"/>
          <w:kern w:val="21"/>
          <w:sz w:val="32"/>
          <w:szCs w:val="32"/>
          <w:highlight w:val="none"/>
          <w:u w:val="none"/>
          <w:lang w:val="en-US" w:eastAsia="zh-CN" w:bidi="ar"/>
          <w14:ligatures w14:val="standardContextual"/>
        </w:rPr>
        <w:t>第八条（医养结合）</w:t>
      </w:r>
      <w:r>
        <w:rPr>
          <w:rFonts w:hint="eastAsia" w:ascii="Times New Roman" w:hAnsi="Times New Roman" w:eastAsia="方正仿宋_GBK" w:cs="方正仿宋_GBK"/>
          <w:color w:val="auto"/>
          <w:spacing w:val="0"/>
          <w:kern w:val="21"/>
          <w:sz w:val="32"/>
          <w:szCs w:val="32"/>
          <w:highlight w:val="none"/>
          <w:u w:val="none"/>
          <w:lang w:val="en-US" w:eastAsia="zh-CN" w:bidi="ar"/>
          <w14:ligatures w14:val="standardContextual"/>
        </w:rPr>
        <w:t>市、县（市、区）人民政府应当统筹规划养老服务设施与医疗卫生设施布局，推动两者同址或者邻近设置，促进医养资源合理利用。支持养老机构与医疗机构建立协议合作机制，为老年人就医提供预约就诊、转诊、挂号、缴费、取药等绿色通道或者优先窗口服务。</w:t>
      </w:r>
    </w:p>
    <w:p w14:paraId="35D42DB9">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74" w:lineRule="exact"/>
        <w:ind w:left="0" w:leftChars="0" w:right="0" w:firstLine="640" w:firstLineChars="200"/>
        <w:jc w:val="both"/>
        <w:textAlignment w:val="auto"/>
        <w:rPr>
          <w:rFonts w:hint="eastAsia" w:ascii="Times New Roman" w:hAnsi="Times New Roman" w:eastAsia="方正仿宋_GBK" w:cs="方正仿宋_GBK"/>
          <w:color w:val="auto"/>
          <w:spacing w:val="0"/>
          <w:kern w:val="21"/>
          <w:sz w:val="32"/>
          <w:szCs w:val="32"/>
          <w:highlight w:val="none"/>
          <w:u w:val="none"/>
          <w:lang w:val="en-US" w:eastAsia="zh-CN" w:bidi="ar"/>
          <w14:ligatures w14:val="standardContextual"/>
        </w:rPr>
      </w:pPr>
      <w:r>
        <w:rPr>
          <w:rFonts w:hint="eastAsia" w:ascii="Times New Roman" w:hAnsi="Times New Roman" w:eastAsia="方正仿宋_GBK" w:cs="方正仿宋_GBK"/>
          <w:color w:val="auto"/>
          <w:spacing w:val="0"/>
          <w:kern w:val="21"/>
          <w:sz w:val="32"/>
          <w:szCs w:val="32"/>
          <w:highlight w:val="none"/>
          <w:u w:val="none"/>
          <w:lang w:val="en-US" w:eastAsia="zh-CN" w:bidi="ar"/>
          <w14:ligatures w14:val="standardContextual"/>
        </w:rPr>
        <w:t>养老机构设立医疗机构或者在其内部设置医务室、护理站等的，按照法定程序分级办理。具备法人资格的医疗机构申请设立养老机构的，应当办理备案手续，无需另行设立新的法人及办理法人登记。鼓励医疗机构在养老机构设立执业站点和家庭医生工作站，为老年人提供就近就便的医养结合服务。</w:t>
      </w:r>
    </w:p>
    <w:p w14:paraId="5F616BB8">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74" w:lineRule="exact"/>
        <w:ind w:left="0" w:leftChars="0" w:right="0" w:firstLine="640" w:firstLineChars="200"/>
        <w:jc w:val="both"/>
        <w:textAlignment w:val="auto"/>
        <w:rPr>
          <w:rFonts w:hint="eastAsia" w:ascii="Times New Roman" w:hAnsi="Times New Roman" w:eastAsia="方正仿宋_GBK" w:cs="方正仿宋_GBK"/>
          <w:color w:val="auto"/>
          <w:spacing w:val="0"/>
          <w:kern w:val="21"/>
          <w:sz w:val="32"/>
          <w:szCs w:val="32"/>
          <w:highlight w:val="none"/>
          <w:u w:val="none"/>
          <w:lang w:val="en-US" w:eastAsia="zh-CN" w:bidi="ar"/>
          <w14:ligatures w14:val="standardContextual"/>
        </w:rPr>
      </w:pPr>
      <w:r>
        <w:rPr>
          <w:rFonts w:hint="eastAsia" w:ascii="Times New Roman" w:hAnsi="Times New Roman" w:eastAsia="方正仿宋_GBK" w:cs="方正仿宋_GBK"/>
          <w:color w:val="auto"/>
          <w:spacing w:val="0"/>
          <w:kern w:val="21"/>
          <w:sz w:val="32"/>
          <w:szCs w:val="32"/>
          <w:highlight w:val="none"/>
          <w:u w:val="none"/>
          <w:lang w:val="en-US" w:eastAsia="zh-CN" w:bidi="ar"/>
          <w14:ligatures w14:val="standardContextual"/>
        </w:rPr>
        <w:t>医疗机构设立的养老机构和养老机构设立的医疗机构，应当分别符合养老机构、医疗机构的建筑和消防等要求，实行分区管理，按照规定做好医疗区和养老区之间的服务转介与衔接。</w:t>
      </w:r>
    </w:p>
    <w:p w14:paraId="0649993D">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74" w:lineRule="exact"/>
        <w:ind w:left="0" w:leftChars="0" w:right="0" w:firstLine="640" w:firstLineChars="200"/>
        <w:jc w:val="both"/>
        <w:textAlignment w:val="auto"/>
        <w:rPr>
          <w:rFonts w:hint="default" w:ascii="Times New Roman" w:hAnsi="Times New Roman" w:eastAsia="方正仿宋_GBK" w:cs="方正仿宋_GBK"/>
          <w:color w:val="auto"/>
          <w:spacing w:val="0"/>
          <w:kern w:val="21"/>
          <w:sz w:val="32"/>
          <w:szCs w:val="32"/>
          <w:highlight w:val="none"/>
          <w:u w:val="none"/>
          <w:lang w:val="en-US" w:eastAsia="zh-CN" w:bidi="ar"/>
          <w14:ligatures w14:val="standardContextual"/>
        </w:rPr>
      </w:pPr>
      <w:r>
        <w:rPr>
          <w:rFonts w:hint="eastAsia" w:ascii="Times New Roman" w:hAnsi="Times New Roman" w:eastAsia="方正仿宋_GBK" w:cs="方正仿宋_GBK"/>
          <w:color w:val="auto"/>
          <w:spacing w:val="0"/>
          <w:kern w:val="21"/>
          <w:sz w:val="32"/>
          <w:szCs w:val="32"/>
          <w:highlight w:val="none"/>
          <w:u w:val="none"/>
          <w:lang w:val="en-US" w:eastAsia="zh-CN" w:bidi="ar"/>
          <w14:ligatures w14:val="standardContextual"/>
        </w:rPr>
        <w:t>医疗保障部门应当按照相关规定，支持将符合条件的医养结合机构内设医疗机构纳入医保定点范围，将符合条件的医养结合机构纳入长期护理保险定点服务机构范围，按照规定享受医保待遇支付政策。卫生健康、人力资源社会保障部门应当制定支持政策，鼓励医护人员到医养结合机构执业，并推动其在职称评定等方面享受同等待遇。</w:t>
      </w:r>
    </w:p>
    <w:p w14:paraId="4B81AC2C">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74" w:lineRule="exact"/>
        <w:ind w:left="0" w:leftChars="0" w:right="0" w:firstLine="640" w:firstLineChars="200"/>
        <w:jc w:val="both"/>
        <w:textAlignment w:val="auto"/>
        <w:rPr>
          <w:rFonts w:hint="eastAsia" w:ascii="Times New Roman" w:hAnsi="Times New Roman" w:eastAsia="方正仿宋_GBK" w:cs="方正仿宋_GBK"/>
          <w:color w:val="auto"/>
          <w:spacing w:val="0"/>
          <w:kern w:val="21"/>
          <w:sz w:val="21"/>
          <w:szCs w:val="21"/>
          <w:highlight w:val="none"/>
          <w:u w:val="none"/>
          <w:lang w:val="en-US" w:eastAsia="zh-CN" w:bidi="ar"/>
          <w14:ligatures w14:val="standardContextual"/>
        </w:rPr>
      </w:pPr>
      <w:r>
        <w:rPr>
          <w:rFonts w:hint="eastAsia" w:ascii="Times New Roman" w:hAnsi="Times New Roman" w:eastAsia="方正黑体_GBK" w:cs="方正黑体_GBK"/>
          <w:color w:val="auto"/>
          <w:spacing w:val="0"/>
          <w:kern w:val="21"/>
          <w:sz w:val="32"/>
          <w:szCs w:val="32"/>
          <w:highlight w:val="none"/>
          <w:u w:val="none"/>
          <w:lang w:val="en-US" w:eastAsia="zh-CN" w:bidi="ar"/>
          <w14:ligatures w14:val="standardContextual"/>
        </w:rPr>
        <w:t>第九条（认知障碍照护机构及专区）</w:t>
      </w:r>
      <w:r>
        <w:rPr>
          <w:rFonts w:hint="eastAsia" w:ascii="Times New Roman" w:hAnsi="Times New Roman" w:eastAsia="方正仿宋_GBK" w:cs="方正仿宋_GBK"/>
          <w:color w:val="auto"/>
          <w:spacing w:val="0"/>
          <w:kern w:val="21"/>
          <w:sz w:val="32"/>
          <w:szCs w:val="32"/>
          <w:highlight w:val="none"/>
          <w:u w:val="none"/>
          <w:lang w:val="en-US" w:eastAsia="zh-CN" w:bidi="ar"/>
          <w14:ligatures w14:val="standardContextual"/>
        </w:rPr>
        <w:t xml:space="preserve"> 市、县（市、区）人民政府应当根据认知障碍老年人的长期照护需求，发展专门认知障碍照护机构，或者在具备相应服务能力的养老机构设置认知障碍老年人照护专区，为认知障碍老年人提供专业照护服务。</w:t>
      </w:r>
    </w:p>
    <w:p w14:paraId="122753C9">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74" w:lineRule="exact"/>
        <w:ind w:left="0" w:leftChars="0" w:right="0" w:firstLine="640" w:firstLineChars="200"/>
        <w:jc w:val="both"/>
        <w:textAlignment w:val="auto"/>
        <w:rPr>
          <w:rFonts w:hint="default" w:ascii="Times New Roman" w:hAnsi="Times New Roman" w:eastAsia="方正仿宋_GBK" w:cs="方正仿宋_GBK"/>
          <w:color w:val="auto"/>
          <w:spacing w:val="0"/>
          <w:kern w:val="21"/>
          <w:sz w:val="32"/>
          <w:szCs w:val="32"/>
          <w:highlight w:val="none"/>
          <w:u w:val="none"/>
          <w:lang w:val="en-US" w:eastAsia="zh-CN" w:bidi="ar"/>
          <w14:ligatures w14:val="standardContextual"/>
        </w:rPr>
      </w:pPr>
      <w:r>
        <w:rPr>
          <w:rFonts w:hint="eastAsia" w:ascii="Times New Roman" w:hAnsi="Times New Roman" w:eastAsia="方正黑体_GBK" w:cs="方正黑体_GBK"/>
          <w:color w:val="auto"/>
          <w:spacing w:val="0"/>
          <w:kern w:val="21"/>
          <w:sz w:val="32"/>
          <w:szCs w:val="32"/>
          <w:highlight w:val="none"/>
          <w:u w:val="none"/>
          <w:lang w:val="en-US" w:eastAsia="zh-CN" w:bidi="ar"/>
          <w14:ligatures w14:val="standardContextual"/>
        </w:rPr>
        <w:t>第十条（评估与协议）</w:t>
      </w:r>
      <w:r>
        <w:rPr>
          <w:rFonts w:hint="eastAsia" w:ascii="Times New Roman" w:hAnsi="Times New Roman" w:eastAsia="方正仿宋_GBK" w:cs="方正仿宋_GBK"/>
          <w:color w:val="auto"/>
          <w:spacing w:val="0"/>
          <w:kern w:val="21"/>
          <w:sz w:val="32"/>
          <w:szCs w:val="32"/>
          <w:highlight w:val="none"/>
          <w:u w:val="none"/>
          <w:lang w:val="en-US" w:eastAsia="zh-CN" w:bidi="ar"/>
          <w14:ligatures w14:val="standardContextual"/>
        </w:rPr>
        <w:t>养老机构应当根据老年人能力评估标准，由具备相应资质的人员对老年人的身心状况进行入院评估、动态评估、及时评估，确定照料护理等级，提供分级分类服务。养老机构、老年人或者其监护人、代理人可以委托第三方专业机构进行老年人能力综合评估。老年人能力评估应当做好相关记录并留存备查。</w:t>
      </w:r>
    </w:p>
    <w:p w14:paraId="2F6231A9">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74" w:lineRule="exact"/>
        <w:ind w:left="0" w:leftChars="0" w:right="0" w:firstLine="640" w:firstLineChars="200"/>
        <w:jc w:val="both"/>
        <w:textAlignment w:val="auto"/>
        <w:rPr>
          <w:rFonts w:hint="eastAsia" w:ascii="Times New Roman" w:hAnsi="Times New Roman" w:eastAsia="方正仿宋_GBK" w:cs="方正仿宋_GBK"/>
          <w:color w:val="auto"/>
          <w:spacing w:val="0"/>
          <w:kern w:val="21"/>
          <w:sz w:val="32"/>
          <w:szCs w:val="32"/>
          <w:highlight w:val="none"/>
          <w:u w:val="none"/>
          <w:lang w:val="en-US" w:eastAsia="zh-CN" w:bidi="ar"/>
          <w14:ligatures w14:val="standardContextual"/>
        </w:rPr>
      </w:pPr>
      <w:r>
        <w:rPr>
          <w:rFonts w:hint="eastAsia" w:ascii="Times New Roman" w:hAnsi="Times New Roman" w:eastAsia="方正仿宋_GBK" w:cs="方正仿宋_GBK"/>
          <w:color w:val="auto"/>
          <w:spacing w:val="0"/>
          <w:kern w:val="21"/>
          <w:sz w:val="32"/>
          <w:szCs w:val="32"/>
          <w:highlight w:val="none"/>
          <w:u w:val="none"/>
          <w:lang w:val="en-US" w:eastAsia="zh-CN" w:bidi="ar"/>
          <w14:ligatures w14:val="standardContextual"/>
        </w:rPr>
        <w:t>养老机构应当与入住老年人或者其监护人、代理人签订服务合同，明确各方权利、义务及纠纷解决途径。双方应当参照使用国家或者省级有关部门制定的养老机构服务合同示范文本。</w:t>
      </w:r>
    </w:p>
    <w:p w14:paraId="1A66BEBF">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74" w:lineRule="exact"/>
        <w:ind w:left="0" w:leftChars="0" w:right="0" w:firstLine="640" w:firstLineChars="200"/>
        <w:jc w:val="both"/>
        <w:textAlignment w:val="auto"/>
        <w:rPr>
          <w:rFonts w:hint="eastAsia" w:ascii="Times New Roman" w:hAnsi="Times New Roman" w:eastAsia="方正仿宋_GBK" w:cs="方正仿宋_GBK"/>
          <w:color w:val="auto"/>
          <w:spacing w:val="0"/>
          <w:kern w:val="21"/>
          <w:sz w:val="32"/>
          <w:szCs w:val="32"/>
          <w:highlight w:val="none"/>
          <w:u w:val="none"/>
          <w:lang w:val="en-US" w:eastAsia="zh-CN" w:bidi="ar"/>
          <w14:ligatures w14:val="standardContextual"/>
        </w:rPr>
      </w:pPr>
      <w:r>
        <w:rPr>
          <w:rFonts w:hint="eastAsia" w:ascii="Times New Roman" w:hAnsi="Times New Roman" w:eastAsia="方正仿宋_GBK" w:cs="方正仿宋_GBK"/>
          <w:color w:val="auto"/>
          <w:spacing w:val="0"/>
          <w:kern w:val="21"/>
          <w:sz w:val="32"/>
          <w:szCs w:val="32"/>
          <w:highlight w:val="none"/>
          <w:u w:val="none"/>
          <w:lang w:val="en-US" w:eastAsia="zh-CN" w:bidi="ar"/>
          <w14:ligatures w14:val="standardContextual"/>
        </w:rPr>
        <w:t>养老机构应当建立老年人信息档案，收集、保管服务协议等相关资料，档案资料的保管期限不少于服务协议期满后五年。</w:t>
      </w:r>
    </w:p>
    <w:p w14:paraId="62CBB778">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74" w:lineRule="exact"/>
        <w:ind w:left="0" w:leftChars="0" w:right="0" w:firstLine="640" w:firstLineChars="200"/>
        <w:jc w:val="both"/>
        <w:textAlignment w:val="auto"/>
        <w:rPr>
          <w:rFonts w:hint="eastAsia" w:ascii="Times New Roman" w:hAnsi="Times New Roman" w:eastAsia="方正仿宋_GBK" w:cs="方正仿宋_GBK"/>
          <w:color w:val="auto"/>
          <w:spacing w:val="0"/>
          <w:kern w:val="21"/>
          <w:sz w:val="32"/>
          <w:szCs w:val="32"/>
          <w:highlight w:val="none"/>
          <w:u w:val="none"/>
          <w:lang w:val="en-US" w:eastAsia="zh-CN" w:bidi="ar"/>
          <w14:ligatures w14:val="standardContextual"/>
        </w:rPr>
      </w:pPr>
      <w:r>
        <w:rPr>
          <w:rFonts w:hint="eastAsia" w:ascii="Times New Roman" w:hAnsi="Times New Roman" w:eastAsia="方正黑体_GBK" w:cs="方正黑体_GBK"/>
          <w:color w:val="auto"/>
          <w:spacing w:val="0"/>
          <w:kern w:val="21"/>
          <w:sz w:val="32"/>
          <w:szCs w:val="32"/>
          <w:highlight w:val="none"/>
          <w:u w:val="none"/>
          <w:lang w:val="en-US" w:eastAsia="zh-CN" w:bidi="ar"/>
          <w14:ligatures w14:val="standardContextual"/>
        </w:rPr>
        <w:t>第十一条（服务内容）</w:t>
      </w:r>
      <w:r>
        <w:rPr>
          <w:rFonts w:hint="eastAsia" w:ascii="Times New Roman" w:hAnsi="Times New Roman" w:eastAsia="方正仿宋_GBK" w:cs="方正仿宋_GBK"/>
          <w:color w:val="auto"/>
          <w:spacing w:val="0"/>
          <w:kern w:val="21"/>
          <w:sz w:val="32"/>
          <w:szCs w:val="32"/>
          <w:highlight w:val="none"/>
          <w:u w:val="none"/>
          <w:lang w:val="en-US" w:eastAsia="zh-CN" w:bidi="ar"/>
          <w14:ligatures w14:val="standardContextual"/>
        </w:rPr>
        <w:t>养老机构应当为入住老年人提供下列服务：</w:t>
      </w:r>
    </w:p>
    <w:p w14:paraId="5E1731D9">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74" w:lineRule="exact"/>
        <w:ind w:left="0" w:leftChars="0" w:right="0" w:firstLine="640" w:firstLineChars="200"/>
        <w:jc w:val="both"/>
        <w:textAlignment w:val="auto"/>
        <w:rPr>
          <w:rFonts w:hint="eastAsia" w:ascii="Times New Roman" w:hAnsi="Times New Roman" w:eastAsia="方正仿宋_GBK" w:cs="方正仿宋_GBK"/>
          <w:color w:val="auto"/>
          <w:spacing w:val="0"/>
          <w:kern w:val="21"/>
          <w:sz w:val="32"/>
          <w:szCs w:val="32"/>
          <w:highlight w:val="none"/>
          <w:u w:val="none"/>
          <w:lang w:val="en-US" w:eastAsia="zh-CN" w:bidi="ar"/>
          <w14:ligatures w14:val="standardContextual"/>
        </w:rPr>
      </w:pPr>
      <w:r>
        <w:rPr>
          <w:rFonts w:hint="eastAsia" w:ascii="Times New Roman" w:hAnsi="Times New Roman" w:eastAsia="方正仿宋_GBK" w:cs="方正仿宋_GBK"/>
          <w:color w:val="auto"/>
          <w:spacing w:val="0"/>
          <w:kern w:val="21"/>
          <w:sz w:val="32"/>
          <w:szCs w:val="32"/>
          <w:highlight w:val="none"/>
          <w:u w:val="none"/>
          <w:lang w:val="en-US" w:eastAsia="zh-CN" w:bidi="ar"/>
          <w14:ligatures w14:val="standardContextual"/>
        </w:rPr>
        <w:t>（一）符合老年人居住条件的住房，并配备符合老年人安全防护要求的设施、设备及生活用具等；</w:t>
      </w:r>
    </w:p>
    <w:p w14:paraId="25CAF087">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74" w:lineRule="exact"/>
        <w:ind w:left="0" w:leftChars="0" w:right="0" w:firstLine="640" w:firstLineChars="200"/>
        <w:jc w:val="both"/>
        <w:textAlignment w:val="auto"/>
        <w:rPr>
          <w:rFonts w:hint="eastAsia" w:ascii="Times New Roman" w:hAnsi="Times New Roman" w:eastAsia="方正仿宋_GBK" w:cs="方正仿宋_GBK"/>
          <w:color w:val="auto"/>
          <w:spacing w:val="0"/>
          <w:kern w:val="21"/>
          <w:sz w:val="32"/>
          <w:szCs w:val="32"/>
          <w:highlight w:val="none"/>
          <w:u w:val="none"/>
          <w:lang w:val="en-US" w:eastAsia="zh-CN" w:bidi="ar"/>
          <w14:ligatures w14:val="standardContextual"/>
        </w:rPr>
      </w:pPr>
      <w:r>
        <w:rPr>
          <w:rFonts w:hint="eastAsia" w:ascii="Times New Roman" w:hAnsi="Times New Roman" w:eastAsia="方正仿宋_GBK" w:cs="方正仿宋_GBK"/>
          <w:color w:val="auto"/>
          <w:spacing w:val="0"/>
          <w:kern w:val="21"/>
          <w:sz w:val="32"/>
          <w:szCs w:val="32"/>
          <w:highlight w:val="none"/>
          <w:u w:val="none"/>
          <w:lang w:val="en-US" w:eastAsia="zh-CN" w:bidi="ar"/>
          <w14:ligatures w14:val="standardContextual"/>
        </w:rPr>
        <w:t>（二）符合食品安全要求和民族风俗习惯、营养均衡、适宜老年人食用的膳食；</w:t>
      </w:r>
    </w:p>
    <w:p w14:paraId="400D4150">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74" w:lineRule="exact"/>
        <w:ind w:left="0" w:leftChars="0" w:right="0" w:firstLine="640" w:firstLineChars="200"/>
        <w:jc w:val="both"/>
        <w:textAlignment w:val="auto"/>
        <w:rPr>
          <w:rFonts w:hint="eastAsia" w:ascii="Times New Roman" w:hAnsi="Times New Roman" w:eastAsia="方正仿宋_GBK" w:cs="方正仿宋_GBK"/>
          <w:color w:val="auto"/>
          <w:spacing w:val="0"/>
          <w:kern w:val="21"/>
          <w:sz w:val="32"/>
          <w:szCs w:val="32"/>
          <w:highlight w:val="none"/>
          <w:u w:val="none"/>
          <w:lang w:val="en-US" w:eastAsia="zh-CN" w:bidi="ar"/>
          <w14:ligatures w14:val="standardContextual"/>
        </w:rPr>
      </w:pPr>
      <w:r>
        <w:rPr>
          <w:rFonts w:hint="eastAsia" w:ascii="Times New Roman" w:hAnsi="Times New Roman" w:eastAsia="方正仿宋_GBK" w:cs="方正仿宋_GBK"/>
          <w:color w:val="auto"/>
          <w:spacing w:val="0"/>
          <w:kern w:val="21"/>
          <w:sz w:val="32"/>
          <w:szCs w:val="32"/>
          <w:highlight w:val="none"/>
          <w:u w:val="none"/>
          <w:lang w:val="en-US" w:eastAsia="zh-CN" w:bidi="ar"/>
          <w14:ligatures w14:val="standardContextual"/>
        </w:rPr>
        <w:t>（三）生活起居照料、洗涤和清洁卫生、室内外活动等生活照护服务；</w:t>
      </w:r>
    </w:p>
    <w:p w14:paraId="06A72ABE">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74" w:lineRule="exact"/>
        <w:ind w:left="0" w:leftChars="0" w:right="0" w:firstLine="640" w:firstLineChars="200"/>
        <w:jc w:val="both"/>
        <w:textAlignment w:val="auto"/>
        <w:rPr>
          <w:rFonts w:hint="eastAsia" w:ascii="Times New Roman" w:hAnsi="Times New Roman" w:eastAsia="方正仿宋_GBK" w:cs="方正仿宋_GBK"/>
          <w:color w:val="auto"/>
          <w:spacing w:val="0"/>
          <w:kern w:val="21"/>
          <w:sz w:val="32"/>
          <w:szCs w:val="32"/>
          <w:highlight w:val="none"/>
          <w:u w:val="none"/>
          <w:lang w:val="en-US" w:eastAsia="zh-CN" w:bidi="ar"/>
          <w14:ligatures w14:val="standardContextual"/>
        </w:rPr>
      </w:pPr>
      <w:r>
        <w:rPr>
          <w:rFonts w:hint="eastAsia" w:ascii="Times New Roman" w:hAnsi="Times New Roman" w:eastAsia="方正仿宋_GBK" w:cs="方正仿宋_GBK"/>
          <w:color w:val="auto"/>
          <w:spacing w:val="0"/>
          <w:kern w:val="21"/>
          <w:sz w:val="32"/>
          <w:szCs w:val="32"/>
          <w:highlight w:val="none"/>
          <w:u w:val="none"/>
          <w:lang w:val="en-US" w:eastAsia="zh-CN" w:bidi="ar"/>
          <w14:ligatures w14:val="standardContextual"/>
        </w:rPr>
        <w:t>（四）建立健康档案、药品协助管理及发放、定期健康检查、日常保健知识宣传、身体康复照料、就医及转院协助等健康服务；</w:t>
      </w:r>
    </w:p>
    <w:p w14:paraId="100EB416">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74" w:lineRule="exact"/>
        <w:ind w:left="0" w:leftChars="0" w:right="0" w:firstLine="640" w:firstLineChars="200"/>
        <w:jc w:val="both"/>
        <w:textAlignment w:val="auto"/>
        <w:rPr>
          <w:rFonts w:hint="default" w:ascii="Times New Roman" w:hAnsi="Times New Roman" w:eastAsia="方正仿宋_GBK" w:cs="方正仿宋_GBK"/>
          <w:color w:val="auto"/>
          <w:spacing w:val="0"/>
          <w:kern w:val="21"/>
          <w:sz w:val="32"/>
          <w:szCs w:val="32"/>
          <w:highlight w:val="none"/>
          <w:u w:val="none"/>
          <w:lang w:val="en-US" w:eastAsia="zh-CN" w:bidi="ar"/>
          <w14:ligatures w14:val="standardContextual"/>
        </w:rPr>
      </w:pPr>
      <w:r>
        <w:rPr>
          <w:rFonts w:hint="eastAsia" w:ascii="Times New Roman" w:hAnsi="Times New Roman" w:eastAsia="方正仿宋_GBK" w:cs="方正仿宋_GBK"/>
          <w:color w:val="auto"/>
          <w:spacing w:val="0"/>
          <w:kern w:val="21"/>
          <w:sz w:val="32"/>
          <w:szCs w:val="32"/>
          <w:highlight w:val="none"/>
          <w:u w:val="none"/>
          <w:lang w:val="en-US" w:eastAsia="zh-CN" w:bidi="ar"/>
          <w14:ligatures w14:val="standardContextual"/>
        </w:rPr>
        <w:t>（五）根据需要提供情绪疏导、心理咨询、危机干预等精神慰藉服务；</w:t>
      </w:r>
    </w:p>
    <w:p w14:paraId="5585D34C">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74" w:lineRule="exact"/>
        <w:ind w:left="0" w:leftChars="0" w:right="0" w:firstLine="640" w:firstLineChars="200"/>
        <w:jc w:val="both"/>
        <w:textAlignment w:val="auto"/>
        <w:rPr>
          <w:rFonts w:hint="eastAsia" w:ascii="Times New Roman" w:hAnsi="Times New Roman" w:eastAsia="方正仿宋_GBK" w:cs="方正仿宋_GBK"/>
          <w:color w:val="auto"/>
          <w:spacing w:val="0"/>
          <w:kern w:val="21"/>
          <w:sz w:val="32"/>
          <w:szCs w:val="32"/>
          <w:highlight w:val="none"/>
          <w:u w:val="none"/>
          <w:lang w:val="en-US" w:eastAsia="zh-CN" w:bidi="ar"/>
          <w14:ligatures w14:val="standardContextual"/>
        </w:rPr>
      </w:pPr>
      <w:r>
        <w:rPr>
          <w:rFonts w:hint="eastAsia" w:ascii="Times New Roman" w:hAnsi="Times New Roman" w:eastAsia="方正仿宋_GBK" w:cs="方正仿宋_GBK"/>
          <w:color w:val="auto"/>
          <w:spacing w:val="0"/>
          <w:kern w:val="21"/>
          <w:sz w:val="32"/>
          <w:szCs w:val="32"/>
          <w:highlight w:val="none"/>
          <w:u w:val="none"/>
          <w:lang w:val="en-US" w:eastAsia="zh-CN" w:bidi="ar"/>
          <w14:ligatures w14:val="standardContextual"/>
        </w:rPr>
        <w:t>（六）开展适合老年人的文化、教育、体育、娱乐等活动；</w:t>
      </w:r>
    </w:p>
    <w:p w14:paraId="5DD48CDE">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74" w:lineRule="exact"/>
        <w:ind w:left="0" w:leftChars="0" w:right="0" w:firstLine="640" w:firstLineChars="200"/>
        <w:jc w:val="both"/>
        <w:textAlignment w:val="auto"/>
        <w:rPr>
          <w:rFonts w:hint="eastAsia" w:ascii="Times New Roman" w:hAnsi="Times New Roman" w:eastAsia="方正仿宋_GBK" w:cs="方正仿宋_GBK"/>
          <w:color w:val="auto"/>
          <w:spacing w:val="0"/>
          <w:kern w:val="21"/>
          <w:sz w:val="32"/>
          <w:szCs w:val="32"/>
          <w:highlight w:val="none"/>
          <w:u w:val="none"/>
          <w:lang w:val="en-US" w:eastAsia="zh-CN" w:bidi="ar"/>
          <w14:ligatures w14:val="standardContextual"/>
        </w:rPr>
      </w:pPr>
      <w:r>
        <w:rPr>
          <w:rFonts w:hint="eastAsia" w:ascii="Times New Roman" w:hAnsi="Times New Roman" w:eastAsia="方正仿宋_GBK" w:cs="方正仿宋_GBK"/>
          <w:color w:val="auto"/>
          <w:spacing w:val="0"/>
          <w:kern w:val="21"/>
          <w:sz w:val="32"/>
          <w:szCs w:val="32"/>
          <w:highlight w:val="none"/>
          <w:u w:val="none"/>
          <w:lang w:val="en-US" w:eastAsia="zh-CN" w:bidi="ar"/>
          <w14:ligatures w14:val="standardContextual"/>
        </w:rPr>
        <w:t>（七）24小时安全值守服务；</w:t>
      </w:r>
    </w:p>
    <w:p w14:paraId="2CFB523A">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74" w:lineRule="exact"/>
        <w:ind w:left="0" w:leftChars="0" w:right="0" w:firstLine="640" w:firstLineChars="200"/>
        <w:jc w:val="both"/>
        <w:textAlignment w:val="auto"/>
        <w:rPr>
          <w:rFonts w:hint="eastAsia" w:ascii="Times New Roman" w:hAnsi="Times New Roman" w:eastAsia="方正仿宋_GBK" w:cs="方正仿宋_GBK"/>
          <w:color w:val="auto"/>
          <w:spacing w:val="0"/>
          <w:kern w:val="21"/>
          <w:sz w:val="32"/>
          <w:szCs w:val="32"/>
          <w:highlight w:val="none"/>
          <w:u w:val="none"/>
          <w:lang w:val="en-US" w:eastAsia="zh-CN" w:bidi="ar"/>
          <w14:ligatures w14:val="standardContextual"/>
        </w:rPr>
      </w:pPr>
      <w:r>
        <w:rPr>
          <w:rFonts w:hint="eastAsia" w:ascii="Times New Roman" w:hAnsi="Times New Roman" w:eastAsia="方正仿宋_GBK" w:cs="方正仿宋_GBK"/>
          <w:color w:val="auto"/>
          <w:spacing w:val="0"/>
          <w:kern w:val="21"/>
          <w:sz w:val="32"/>
          <w:szCs w:val="32"/>
          <w:highlight w:val="none"/>
          <w:u w:val="none"/>
          <w:lang w:val="en-US" w:eastAsia="zh-CN" w:bidi="ar"/>
          <w14:ligatures w14:val="standardContextual"/>
        </w:rPr>
        <w:t>（八）协助老年人与家庭成员保持联系，为其家庭成员看望或者问候老年人提供便利条件；</w:t>
      </w:r>
    </w:p>
    <w:p w14:paraId="37B3D541">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74" w:lineRule="exact"/>
        <w:ind w:left="0" w:leftChars="0" w:right="0" w:firstLine="640" w:firstLineChars="200"/>
        <w:jc w:val="both"/>
        <w:textAlignment w:val="auto"/>
        <w:rPr>
          <w:rFonts w:hint="eastAsia" w:ascii="Times New Roman" w:hAnsi="Times New Roman" w:eastAsia="方正仿宋_GBK" w:cs="方正仿宋_GBK"/>
          <w:color w:val="auto"/>
          <w:spacing w:val="0"/>
          <w:kern w:val="21"/>
          <w:sz w:val="32"/>
          <w:szCs w:val="32"/>
          <w:highlight w:val="none"/>
          <w:u w:val="none"/>
          <w:lang w:val="en-US" w:eastAsia="zh-CN" w:bidi="ar"/>
          <w14:ligatures w14:val="standardContextual"/>
        </w:rPr>
      </w:pPr>
      <w:r>
        <w:rPr>
          <w:rFonts w:hint="eastAsia" w:ascii="Times New Roman" w:hAnsi="Times New Roman" w:eastAsia="方正仿宋_GBK" w:cs="方正仿宋_GBK"/>
          <w:color w:val="auto"/>
          <w:spacing w:val="0"/>
          <w:kern w:val="21"/>
          <w:sz w:val="32"/>
          <w:szCs w:val="32"/>
          <w:highlight w:val="none"/>
          <w:u w:val="none"/>
          <w:lang w:val="en-US" w:eastAsia="zh-CN" w:bidi="ar"/>
          <w14:ligatures w14:val="standardContextual"/>
        </w:rPr>
        <w:t>（九）发现老年人突发危重疾病等情况，及时通知其近亲属或者代理人，按照服务协议协助送医救治；</w:t>
      </w:r>
    </w:p>
    <w:p w14:paraId="13C157B8">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74" w:lineRule="exact"/>
        <w:ind w:left="0" w:leftChars="0" w:right="0" w:firstLine="640" w:firstLineChars="200"/>
        <w:jc w:val="both"/>
        <w:textAlignment w:val="auto"/>
        <w:rPr>
          <w:rFonts w:hint="eastAsia" w:ascii="Times New Roman" w:hAnsi="Times New Roman" w:eastAsia="方正仿宋_GBK" w:cs="方正仿宋_GBK"/>
          <w:color w:val="auto"/>
          <w:spacing w:val="0"/>
          <w:kern w:val="21"/>
          <w:sz w:val="32"/>
          <w:szCs w:val="32"/>
          <w:highlight w:val="none"/>
          <w:u w:val="none"/>
          <w:lang w:val="en-US" w:eastAsia="zh-CN" w:bidi="ar"/>
          <w14:ligatures w14:val="standardContextual"/>
        </w:rPr>
      </w:pPr>
      <w:r>
        <w:rPr>
          <w:rFonts w:hint="eastAsia" w:ascii="Times New Roman" w:hAnsi="Times New Roman" w:eastAsia="方正仿宋_GBK" w:cs="方正仿宋_GBK"/>
          <w:color w:val="auto"/>
          <w:spacing w:val="0"/>
          <w:kern w:val="21"/>
          <w:sz w:val="32"/>
          <w:szCs w:val="32"/>
          <w:highlight w:val="none"/>
          <w:u w:val="none"/>
          <w:lang w:val="en-US" w:eastAsia="zh-CN" w:bidi="ar"/>
          <w14:ligatures w14:val="standardContextual"/>
        </w:rPr>
        <w:t>（十）协助妥善办理丧葬事宜；</w:t>
      </w:r>
    </w:p>
    <w:p w14:paraId="3CBAAA58">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74" w:lineRule="exact"/>
        <w:ind w:left="0" w:leftChars="0" w:right="0" w:firstLine="640" w:firstLineChars="200"/>
        <w:jc w:val="both"/>
        <w:textAlignment w:val="auto"/>
        <w:rPr>
          <w:rFonts w:hint="eastAsia" w:ascii="Times New Roman" w:hAnsi="Times New Roman" w:eastAsia="方正仿宋_GBK" w:cs="方正仿宋_GBK"/>
          <w:color w:val="auto"/>
          <w:spacing w:val="0"/>
          <w:kern w:val="21"/>
          <w:sz w:val="32"/>
          <w:szCs w:val="32"/>
          <w:highlight w:val="none"/>
          <w:u w:val="none"/>
          <w:lang w:val="en-US" w:eastAsia="zh-CN" w:bidi="ar"/>
          <w14:ligatures w14:val="standardContextual"/>
        </w:rPr>
      </w:pPr>
      <w:r>
        <w:rPr>
          <w:rFonts w:hint="eastAsia" w:ascii="Times New Roman" w:hAnsi="Times New Roman" w:eastAsia="方正仿宋_GBK" w:cs="方正仿宋_GBK"/>
          <w:color w:val="auto"/>
          <w:spacing w:val="0"/>
          <w:kern w:val="21"/>
          <w:sz w:val="32"/>
          <w:szCs w:val="32"/>
          <w:highlight w:val="none"/>
          <w:u w:val="none"/>
          <w:lang w:val="en-US" w:eastAsia="zh-CN" w:bidi="ar"/>
          <w14:ligatures w14:val="standardContextual"/>
        </w:rPr>
        <w:t>（十一）其他适合入住老年人的服务。</w:t>
      </w:r>
    </w:p>
    <w:p w14:paraId="77D444BE">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74" w:lineRule="exact"/>
        <w:ind w:left="0" w:leftChars="0" w:right="0" w:firstLine="640" w:firstLineChars="200"/>
        <w:jc w:val="both"/>
        <w:textAlignment w:val="auto"/>
        <w:rPr>
          <w:rFonts w:hint="default" w:ascii="Times New Roman" w:hAnsi="Times New Roman" w:eastAsia="方正仿宋_GBK" w:cs="方正仿宋_GBK"/>
          <w:color w:val="auto"/>
          <w:spacing w:val="0"/>
          <w:kern w:val="21"/>
          <w:sz w:val="32"/>
          <w:szCs w:val="32"/>
          <w:highlight w:val="none"/>
          <w:u w:val="none"/>
          <w:lang w:val="en-US" w:eastAsia="zh-CN" w:bidi="ar"/>
          <w14:ligatures w14:val="standardContextual"/>
        </w:rPr>
      </w:pPr>
      <w:r>
        <w:rPr>
          <w:rFonts w:hint="eastAsia" w:ascii="Times New Roman" w:hAnsi="Times New Roman" w:eastAsia="方正仿宋_GBK" w:cs="方正仿宋_GBK"/>
          <w:color w:val="auto"/>
          <w:spacing w:val="0"/>
          <w:kern w:val="21"/>
          <w:sz w:val="32"/>
          <w:szCs w:val="32"/>
          <w:highlight w:val="none"/>
          <w:u w:val="none"/>
          <w:lang w:val="en-US" w:eastAsia="zh-CN" w:bidi="ar"/>
          <w14:ligatures w14:val="standardContextual"/>
        </w:rPr>
        <w:t>养老机构应当按照建筑、消防、食品安全、医疗卫生、特种设备等领域的法律、法规、强制性标准，以及本省、市有关规定和服务协议约定开展服务活动。入住老年人应当遵守养老机构规章制度，并与其监护人、代理人共同履行服务协议约定义务。</w:t>
      </w:r>
    </w:p>
    <w:p w14:paraId="1636AA3D">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74" w:lineRule="exact"/>
        <w:ind w:left="0" w:leftChars="0" w:right="0" w:firstLine="640" w:firstLineChars="200"/>
        <w:jc w:val="both"/>
        <w:textAlignment w:val="auto"/>
        <w:rPr>
          <w:rFonts w:hint="eastAsia" w:ascii="Times New Roman" w:hAnsi="Times New Roman" w:eastAsia="方正仿宋_GBK" w:cs="方正仿宋_GBK"/>
          <w:color w:val="auto"/>
          <w:spacing w:val="0"/>
          <w:kern w:val="21"/>
          <w:sz w:val="32"/>
          <w:szCs w:val="32"/>
          <w:highlight w:val="none"/>
          <w:u w:val="none"/>
          <w:lang w:val="en-US" w:eastAsia="zh-CN" w:bidi="ar"/>
          <w14:ligatures w14:val="standardContextual"/>
        </w:rPr>
      </w:pPr>
      <w:r>
        <w:rPr>
          <w:rFonts w:hint="eastAsia" w:ascii="Times New Roman" w:hAnsi="Times New Roman" w:eastAsia="方正仿宋_GBK" w:cs="方正仿宋_GBK"/>
          <w:color w:val="auto"/>
          <w:spacing w:val="0"/>
          <w:kern w:val="21"/>
          <w:sz w:val="32"/>
          <w:szCs w:val="32"/>
          <w:highlight w:val="none"/>
          <w:u w:val="none"/>
          <w:lang w:val="en-US" w:eastAsia="zh-CN" w:bidi="ar"/>
          <w14:ligatures w14:val="standardContextual"/>
        </w:rPr>
        <w:t>鼓励养老机构利用专业优势开展助餐、助浴、助急等社区居家养老服务。</w:t>
      </w:r>
    </w:p>
    <w:p w14:paraId="5B5C74FF">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74" w:lineRule="exact"/>
        <w:ind w:left="0" w:leftChars="0" w:right="0" w:firstLine="640" w:firstLineChars="200"/>
        <w:jc w:val="both"/>
        <w:textAlignment w:val="auto"/>
        <w:rPr>
          <w:rFonts w:hint="eastAsia" w:ascii="Times New Roman" w:hAnsi="Times New Roman" w:eastAsia="方正仿宋_GBK" w:cs="方正仿宋_GBK"/>
          <w:color w:val="auto"/>
          <w:spacing w:val="0"/>
          <w:kern w:val="21"/>
          <w:sz w:val="32"/>
          <w:szCs w:val="32"/>
          <w:highlight w:val="none"/>
          <w:u w:val="none"/>
          <w:lang w:val="en-US" w:eastAsia="zh-CN" w:bidi="ar"/>
          <w14:ligatures w14:val="standardContextual"/>
        </w:rPr>
      </w:pPr>
      <w:r>
        <w:rPr>
          <w:rFonts w:hint="eastAsia" w:ascii="Times New Roman" w:hAnsi="Times New Roman" w:eastAsia="方正仿宋_GBK" w:cs="方正仿宋_GBK"/>
          <w:color w:val="auto"/>
          <w:spacing w:val="0"/>
          <w:kern w:val="21"/>
          <w:sz w:val="32"/>
          <w:szCs w:val="32"/>
          <w:highlight w:val="none"/>
          <w:u w:val="none"/>
          <w:lang w:val="en-US" w:eastAsia="zh-CN" w:bidi="ar"/>
          <w14:ligatures w14:val="standardContextual"/>
        </w:rPr>
        <w:t>养老机构不得利用养老机构的房屋、场地、设施开展与养老服务无关的活动。</w:t>
      </w:r>
    </w:p>
    <w:p w14:paraId="3AB32045">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74" w:lineRule="exact"/>
        <w:ind w:left="0" w:leftChars="0" w:right="0" w:firstLine="640" w:firstLineChars="200"/>
        <w:jc w:val="both"/>
        <w:textAlignment w:val="auto"/>
        <w:rPr>
          <w:rFonts w:hint="eastAsia" w:ascii="Times New Roman" w:hAnsi="Times New Roman" w:eastAsia="方正仿宋_GBK" w:cs="方正仿宋_GBK"/>
          <w:color w:val="auto"/>
          <w:spacing w:val="0"/>
          <w:kern w:val="21"/>
          <w:sz w:val="32"/>
          <w:szCs w:val="32"/>
          <w:highlight w:val="none"/>
          <w:u w:val="none"/>
          <w:lang w:val="en-US" w:eastAsia="zh-CN" w:bidi="ar"/>
          <w14:ligatures w14:val="standardContextual"/>
        </w:rPr>
      </w:pPr>
      <w:r>
        <w:rPr>
          <w:rFonts w:hint="eastAsia" w:ascii="Times New Roman" w:hAnsi="Times New Roman" w:eastAsia="方正黑体_GBK" w:cs="方正黑体_GBK"/>
          <w:color w:val="auto"/>
          <w:spacing w:val="0"/>
          <w:kern w:val="21"/>
          <w:sz w:val="32"/>
          <w:szCs w:val="32"/>
          <w:highlight w:val="none"/>
          <w:u w:val="none"/>
          <w:lang w:val="en-US" w:eastAsia="zh-CN" w:bidi="ar"/>
          <w14:ligatures w14:val="standardContextual"/>
        </w:rPr>
        <w:t>第十二条（收费管理）</w:t>
      </w:r>
      <w:r>
        <w:rPr>
          <w:rFonts w:hint="eastAsia" w:ascii="Times New Roman" w:hAnsi="Times New Roman" w:eastAsia="方正仿宋_GBK" w:cs="方正仿宋_GBK"/>
          <w:color w:val="auto"/>
          <w:spacing w:val="0"/>
          <w:kern w:val="21"/>
          <w:sz w:val="32"/>
          <w:szCs w:val="32"/>
          <w:highlight w:val="none"/>
          <w:u w:val="none"/>
          <w:lang w:val="en-US" w:eastAsia="zh-CN" w:bidi="ar"/>
          <w14:ligatures w14:val="standardContextual"/>
        </w:rPr>
        <w:t>养老机构的收费标准根据其经营性质、设施条件、服务质量、护理等级等因素确定。</w:t>
      </w:r>
    </w:p>
    <w:p w14:paraId="1C59E6CE">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74" w:lineRule="exact"/>
        <w:ind w:left="0" w:leftChars="0" w:right="0" w:firstLine="640" w:firstLineChars="200"/>
        <w:jc w:val="both"/>
        <w:textAlignment w:val="auto"/>
        <w:rPr>
          <w:rFonts w:hint="eastAsia" w:ascii="Times New Roman" w:hAnsi="Times New Roman" w:eastAsia="方正仿宋_GBK" w:cs="方正仿宋_GBK"/>
          <w:color w:val="auto"/>
          <w:spacing w:val="0"/>
          <w:kern w:val="21"/>
          <w:sz w:val="32"/>
          <w:szCs w:val="32"/>
          <w:highlight w:val="none"/>
          <w:u w:val="none"/>
          <w:lang w:val="en-US" w:eastAsia="zh-CN" w:bidi="ar"/>
          <w14:ligatures w14:val="standardContextual"/>
        </w:rPr>
      </w:pPr>
      <w:r>
        <w:rPr>
          <w:rFonts w:hint="eastAsia" w:ascii="Times New Roman" w:hAnsi="Times New Roman" w:eastAsia="方正仿宋_GBK" w:cs="方正仿宋_GBK"/>
          <w:color w:val="auto"/>
          <w:spacing w:val="0"/>
          <w:kern w:val="21"/>
          <w:sz w:val="32"/>
          <w:szCs w:val="32"/>
          <w:highlight w:val="none"/>
          <w:u w:val="none"/>
          <w:lang w:val="en-US" w:eastAsia="zh-CN" w:bidi="ar"/>
          <w14:ligatures w14:val="standardContextual"/>
        </w:rPr>
        <w:t>养老机构应当在经营场所显著位置及官方网站、微信公众号等线上平台，公示服务项目、服务内容、收费标准、收费依据及监督电话等信息。</w:t>
      </w:r>
    </w:p>
    <w:p w14:paraId="5396B32F">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74" w:lineRule="exact"/>
        <w:ind w:left="0" w:leftChars="0" w:right="0" w:firstLine="640" w:firstLineChars="200"/>
        <w:jc w:val="both"/>
        <w:textAlignment w:val="auto"/>
        <w:rPr>
          <w:rFonts w:hint="eastAsia" w:ascii="Times New Roman" w:hAnsi="Times New Roman" w:eastAsia="方正仿宋_GBK" w:cs="方正仿宋_GBK"/>
          <w:color w:val="auto"/>
          <w:spacing w:val="0"/>
          <w:kern w:val="21"/>
          <w:sz w:val="32"/>
          <w:szCs w:val="32"/>
          <w:highlight w:val="yellow"/>
          <w:u w:val="none"/>
          <w:lang w:val="en-US" w:eastAsia="zh-CN" w:bidi="ar"/>
          <w14:ligatures w14:val="standardContextual"/>
        </w:rPr>
      </w:pPr>
      <w:r>
        <w:rPr>
          <w:rFonts w:hint="eastAsia" w:ascii="Times New Roman" w:hAnsi="Times New Roman" w:eastAsia="方正黑体_GBK" w:cs="方正黑体_GBK"/>
          <w:color w:val="auto"/>
          <w:spacing w:val="0"/>
          <w:kern w:val="21"/>
          <w:sz w:val="32"/>
          <w:szCs w:val="32"/>
          <w:highlight w:val="none"/>
          <w:u w:val="none"/>
          <w:lang w:val="en-US" w:eastAsia="zh-CN" w:bidi="ar"/>
          <w14:ligatures w14:val="standardContextual"/>
        </w:rPr>
        <w:t>第十三条（预收费管理）</w:t>
      </w:r>
      <w:r>
        <w:rPr>
          <w:rFonts w:hint="eastAsia" w:ascii="Times New Roman" w:hAnsi="Times New Roman" w:eastAsia="方正仿宋_GBK" w:cs="方正仿宋_GBK"/>
          <w:color w:val="auto"/>
          <w:spacing w:val="0"/>
          <w:kern w:val="21"/>
          <w:sz w:val="32"/>
          <w:szCs w:val="32"/>
          <w:highlight w:val="none"/>
          <w:u w:val="none"/>
          <w:lang w:val="en-US" w:eastAsia="zh-CN" w:bidi="ar"/>
          <w14:ligatures w14:val="standardContextual"/>
        </w:rPr>
        <w:t>养老机构预收费主要包括养老服务费、押金、会员费，收取标准、用途管理、退费方式等按照有关规定执行。养老机构预先收取的养老服务费应当全部存入基本存款账户，押金、会员费应当全部存入专用存款账户。专用存款账户应当按照规定留存一定比例资金作为风险保证金。</w:t>
      </w:r>
    </w:p>
    <w:p w14:paraId="67A5553D">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74" w:lineRule="exact"/>
        <w:ind w:left="0" w:leftChars="0" w:right="0" w:firstLine="640" w:firstLineChars="200"/>
        <w:jc w:val="both"/>
        <w:textAlignment w:val="auto"/>
        <w:rPr>
          <w:rFonts w:hint="eastAsia" w:ascii="Times New Roman" w:hAnsi="Times New Roman" w:eastAsia="方正仿宋_GBK" w:cs="方正仿宋_GBK"/>
          <w:color w:val="auto"/>
          <w:spacing w:val="0"/>
          <w:kern w:val="21"/>
          <w:sz w:val="32"/>
          <w:szCs w:val="32"/>
          <w:highlight w:val="none"/>
          <w:u w:val="none"/>
          <w:lang w:val="en-US" w:eastAsia="zh-CN" w:bidi="ar"/>
          <w14:ligatures w14:val="standardContextual"/>
        </w:rPr>
      </w:pPr>
      <w:r>
        <w:rPr>
          <w:rFonts w:hint="eastAsia" w:ascii="Times New Roman" w:hAnsi="Times New Roman" w:eastAsia="方正黑体_GBK" w:cs="方正黑体_GBK"/>
          <w:color w:val="auto"/>
          <w:spacing w:val="0"/>
          <w:kern w:val="21"/>
          <w:sz w:val="32"/>
          <w:szCs w:val="32"/>
          <w:highlight w:val="none"/>
          <w:u w:val="none"/>
          <w:lang w:val="en-US" w:eastAsia="zh-CN" w:bidi="ar"/>
          <w14:ligatures w14:val="standardContextual"/>
        </w:rPr>
        <w:t>第十四条（从业人员管理）</w:t>
      </w:r>
      <w:r>
        <w:rPr>
          <w:rFonts w:hint="eastAsia" w:ascii="Times New Roman" w:hAnsi="Times New Roman" w:eastAsia="方正仿宋_GBK" w:cs="方正仿宋_GBK"/>
          <w:color w:val="auto"/>
          <w:spacing w:val="0"/>
          <w:kern w:val="21"/>
          <w:sz w:val="32"/>
          <w:szCs w:val="32"/>
          <w:highlight w:val="none"/>
          <w:u w:val="none"/>
          <w:lang w:val="en-US" w:eastAsia="zh-CN" w:bidi="ar"/>
          <w14:ligatures w14:val="standardContextual"/>
        </w:rPr>
        <w:t>养老机构应当按照相关标准配备与服务、运营相适应的管理人员、专业技术人员及工勤技能人员，其中养老护理人员应当按照老年人能力等级合理配备数量。养老机构应当设置安全员，负责监管老年人人身与财产安全，及时发现并排除相关风险隐患。</w:t>
      </w:r>
    </w:p>
    <w:p w14:paraId="2A3471F6">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74" w:lineRule="exact"/>
        <w:ind w:left="0" w:leftChars="0" w:right="0" w:firstLine="640" w:firstLineChars="200"/>
        <w:jc w:val="both"/>
        <w:textAlignment w:val="auto"/>
        <w:rPr>
          <w:rFonts w:hint="eastAsia" w:ascii="Times New Roman" w:hAnsi="Times New Roman" w:eastAsia="方正仿宋_GBK" w:cs="方正仿宋_GBK"/>
          <w:color w:val="auto"/>
          <w:spacing w:val="0"/>
          <w:kern w:val="21"/>
          <w:sz w:val="32"/>
          <w:szCs w:val="32"/>
          <w:highlight w:val="none"/>
          <w:u w:val="none"/>
          <w:lang w:val="en-US" w:eastAsia="zh-CN" w:bidi="ar"/>
          <w14:ligatures w14:val="standardContextual"/>
        </w:rPr>
      </w:pPr>
      <w:r>
        <w:rPr>
          <w:rFonts w:hint="eastAsia" w:ascii="Times New Roman" w:hAnsi="Times New Roman" w:eastAsia="方正仿宋_GBK" w:cs="方正仿宋_GBK"/>
          <w:color w:val="auto"/>
          <w:spacing w:val="0"/>
          <w:kern w:val="21"/>
          <w:sz w:val="32"/>
          <w:szCs w:val="32"/>
          <w:highlight w:val="none"/>
          <w:u w:val="none"/>
          <w:lang w:val="en-US" w:eastAsia="zh-CN" w:bidi="ar"/>
          <w14:ligatures w14:val="standardContextual"/>
        </w:rPr>
        <w:t>养老机构中提供医疗、康复、护理、消防等服务的人员应当具备相应的职业资格，膳食服务人员应当具有健康证明，护理人员应当具有健康证明或者可以证明其一年内无传染性疾病的体检结果证明。</w:t>
      </w:r>
    </w:p>
    <w:p w14:paraId="021B308E">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74" w:lineRule="exact"/>
        <w:ind w:left="0" w:leftChars="0" w:right="0" w:firstLine="640" w:firstLineChars="200"/>
        <w:jc w:val="both"/>
        <w:textAlignment w:val="auto"/>
        <w:rPr>
          <w:rFonts w:hint="default" w:ascii="Times New Roman" w:hAnsi="Times New Roman" w:eastAsia="方正仿宋_GBK" w:cs="方正仿宋_GBK"/>
          <w:color w:val="auto"/>
          <w:spacing w:val="0"/>
          <w:kern w:val="21"/>
          <w:sz w:val="32"/>
          <w:szCs w:val="32"/>
          <w:highlight w:val="none"/>
          <w:u w:val="none"/>
          <w:lang w:val="en-US" w:eastAsia="zh-CN" w:bidi="ar"/>
          <w14:ligatures w14:val="standardContextual"/>
        </w:rPr>
      </w:pPr>
      <w:r>
        <w:rPr>
          <w:rFonts w:hint="eastAsia" w:ascii="Times New Roman" w:hAnsi="Times New Roman" w:eastAsia="方正仿宋_GBK" w:cs="方正仿宋_GBK"/>
          <w:color w:val="auto"/>
          <w:spacing w:val="0"/>
          <w:kern w:val="21"/>
          <w:sz w:val="32"/>
          <w:szCs w:val="32"/>
          <w:highlight w:val="none"/>
          <w:u w:val="none"/>
          <w:lang w:val="en-US" w:eastAsia="zh-CN" w:bidi="ar"/>
          <w14:ligatures w14:val="standardContextual"/>
        </w:rPr>
        <w:t>养老机构工作人员应当具备与工作岗位相适应的职业素养，不得有歧视、恐吓、谩骂、侮辱、殴打、虐待、性侵、遗弃老年人等侵犯老年人合法权益的行为。养老机构应当建立健全培训制度，定期组织工作人员进行职业道德教育以及医疗、照护、信息技术等相关技能培训。</w:t>
      </w:r>
    </w:p>
    <w:p w14:paraId="7E3A110C">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74" w:lineRule="exact"/>
        <w:ind w:left="0" w:leftChars="0" w:right="0" w:firstLine="640" w:firstLineChars="200"/>
        <w:jc w:val="both"/>
        <w:textAlignment w:val="auto"/>
        <w:rPr>
          <w:rFonts w:hint="eastAsia" w:ascii="Times New Roman" w:hAnsi="Times New Roman" w:eastAsia="方正仿宋_GBK" w:cs="方正仿宋_GBK"/>
          <w:color w:val="auto"/>
          <w:spacing w:val="0"/>
          <w:kern w:val="21"/>
          <w:sz w:val="32"/>
          <w:szCs w:val="32"/>
          <w:highlight w:val="none"/>
          <w:u w:val="none"/>
          <w:lang w:val="en-US" w:eastAsia="zh-CN" w:bidi="ar"/>
          <w14:ligatures w14:val="standardContextual"/>
        </w:rPr>
      </w:pPr>
      <w:r>
        <w:rPr>
          <w:rFonts w:hint="eastAsia" w:ascii="Times New Roman" w:hAnsi="Times New Roman" w:eastAsia="方正黑体_GBK" w:cs="方正黑体_GBK"/>
          <w:color w:val="auto"/>
          <w:spacing w:val="0"/>
          <w:kern w:val="21"/>
          <w:sz w:val="32"/>
          <w:szCs w:val="32"/>
          <w:highlight w:val="none"/>
          <w:u w:val="none"/>
          <w:lang w:val="en-US" w:eastAsia="zh-CN" w:bidi="ar"/>
          <w14:ligatures w14:val="standardContextual"/>
        </w:rPr>
        <w:t>第十五条（食品安全）</w:t>
      </w:r>
      <w:r>
        <w:rPr>
          <w:rFonts w:hint="eastAsia" w:ascii="Times New Roman" w:hAnsi="Times New Roman" w:eastAsia="方正仿宋_GBK" w:cs="方正仿宋_GBK"/>
          <w:color w:val="auto"/>
          <w:spacing w:val="0"/>
          <w:kern w:val="21"/>
          <w:sz w:val="32"/>
          <w:szCs w:val="32"/>
          <w:highlight w:val="none"/>
          <w:u w:val="none"/>
          <w:lang w:val="en-US" w:eastAsia="zh-CN" w:bidi="ar"/>
          <w14:ligatures w14:val="standardContextual"/>
        </w:rPr>
        <w:t>养老机构应当建立食品安全管理院长责任制，定期开展食品安全检查与自查，对重大隐患及时整改跟踪。建立食品留样、餐饮具清洗消毒等制度，每半年至少开展一次食品安全宣传教育。</w:t>
      </w:r>
    </w:p>
    <w:p w14:paraId="490F944A">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74" w:lineRule="exact"/>
        <w:ind w:left="0" w:leftChars="0" w:right="0" w:firstLine="640" w:firstLineChars="200"/>
        <w:jc w:val="both"/>
        <w:textAlignment w:val="auto"/>
        <w:rPr>
          <w:rFonts w:hint="eastAsia" w:ascii="Times New Roman" w:hAnsi="Times New Roman" w:eastAsia="方正仿宋_GBK" w:cs="方正仿宋_GBK"/>
          <w:color w:val="auto"/>
          <w:spacing w:val="0"/>
          <w:kern w:val="21"/>
          <w:sz w:val="32"/>
          <w:szCs w:val="32"/>
          <w:highlight w:val="none"/>
          <w:u w:val="none"/>
          <w:lang w:val="en-US" w:eastAsia="zh-CN" w:bidi="ar"/>
          <w14:ligatures w14:val="standardContextual"/>
        </w:rPr>
      </w:pPr>
      <w:r>
        <w:rPr>
          <w:rFonts w:hint="eastAsia" w:ascii="Times New Roman" w:hAnsi="Times New Roman" w:eastAsia="方正仿宋_GBK" w:cs="方正仿宋_GBK"/>
          <w:color w:val="auto"/>
          <w:spacing w:val="0"/>
          <w:kern w:val="21"/>
          <w:sz w:val="32"/>
          <w:szCs w:val="32"/>
          <w:highlight w:val="none"/>
          <w:u w:val="none"/>
          <w:lang w:val="en-US" w:eastAsia="zh-CN" w:bidi="ar"/>
          <w14:ligatures w14:val="standardContextual"/>
        </w:rPr>
        <w:t>内设食堂的养老机构，应当依法取得食品经营许可，设置食品安全管理机构及专职人员，配备合规加工贮存设施，执行进货查验与食品安全操作规范。实行订餐制的，应当从具备许可的供餐单位订购并常态查验。</w:t>
      </w:r>
    </w:p>
    <w:p w14:paraId="193F4CA5">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74" w:lineRule="exact"/>
        <w:ind w:left="0" w:leftChars="0" w:right="0" w:firstLine="640" w:firstLineChars="200"/>
        <w:jc w:val="both"/>
        <w:textAlignment w:val="auto"/>
        <w:rPr>
          <w:rFonts w:hint="eastAsia" w:ascii="Times New Roman" w:hAnsi="Times New Roman" w:eastAsia="方正仿宋_GBK" w:cs="方正仿宋_GBK"/>
          <w:color w:val="auto"/>
          <w:spacing w:val="0"/>
          <w:kern w:val="21"/>
          <w:sz w:val="32"/>
          <w:szCs w:val="32"/>
          <w:highlight w:val="none"/>
          <w:u w:val="none"/>
          <w:lang w:val="en-US" w:eastAsia="zh-CN" w:bidi="ar"/>
          <w14:ligatures w14:val="standardContextual"/>
        </w:rPr>
      </w:pPr>
      <w:r>
        <w:rPr>
          <w:rFonts w:hint="eastAsia" w:ascii="Times New Roman" w:hAnsi="Times New Roman" w:eastAsia="方正仿宋_GBK" w:cs="方正仿宋_GBK"/>
          <w:color w:val="auto"/>
          <w:spacing w:val="0"/>
          <w:kern w:val="21"/>
          <w:sz w:val="32"/>
          <w:szCs w:val="32"/>
          <w:highlight w:val="none"/>
          <w:u w:val="none"/>
          <w:lang w:val="en-US" w:eastAsia="zh-CN" w:bidi="ar"/>
          <w14:ligatures w14:val="standardContextual"/>
        </w:rPr>
        <w:t>乡镇人民政府（街道办事处）应当严格执行主要负责人陪餐制度，民政、市场监管部门应健全食堂内部吹哨人制度，及时消除食品安全风险。</w:t>
      </w:r>
    </w:p>
    <w:p w14:paraId="4E3AD40C">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74" w:lineRule="exact"/>
        <w:ind w:left="0" w:leftChars="0" w:right="0" w:firstLine="640" w:firstLineChars="200"/>
        <w:jc w:val="both"/>
        <w:textAlignment w:val="auto"/>
        <w:rPr>
          <w:rFonts w:hint="eastAsia" w:ascii="Times New Roman" w:hAnsi="Times New Roman" w:eastAsia="方正仿宋_GBK" w:cs="方正仿宋_GBK"/>
          <w:color w:val="auto"/>
          <w:spacing w:val="0"/>
          <w:kern w:val="21"/>
          <w:sz w:val="32"/>
          <w:szCs w:val="32"/>
          <w:highlight w:val="none"/>
          <w:u w:val="none"/>
          <w:lang w:val="en-US" w:eastAsia="zh-CN" w:bidi="ar"/>
          <w14:ligatures w14:val="standardContextual"/>
        </w:rPr>
      </w:pPr>
      <w:r>
        <w:rPr>
          <w:rFonts w:hint="eastAsia" w:ascii="Times New Roman" w:hAnsi="Times New Roman" w:eastAsia="方正仿宋_GBK" w:cs="方正仿宋_GBK"/>
          <w:color w:val="auto"/>
          <w:spacing w:val="0"/>
          <w:kern w:val="21"/>
          <w:sz w:val="32"/>
          <w:szCs w:val="32"/>
          <w:highlight w:val="none"/>
          <w:u w:val="none"/>
          <w:lang w:val="en-US" w:eastAsia="zh-CN" w:bidi="ar"/>
          <w14:ligatures w14:val="standardContextual"/>
        </w:rPr>
        <w:t>养老机构应当制定食品安全事故应急预案，发生疑似食源性疾病事件后，应当立即采取控制措施并依法报告，市场监管等部门应当依规处置食品安全事故。</w:t>
      </w:r>
    </w:p>
    <w:p w14:paraId="378DA9FF">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74" w:lineRule="exact"/>
        <w:ind w:left="0" w:leftChars="0" w:right="0" w:firstLine="640" w:firstLineChars="200"/>
        <w:jc w:val="both"/>
        <w:textAlignment w:val="auto"/>
        <w:rPr>
          <w:rFonts w:hint="eastAsia" w:ascii="Times New Roman" w:hAnsi="Times New Roman" w:eastAsia="方正仿宋_GBK" w:cs="方正仿宋_GBK"/>
          <w:color w:val="auto"/>
          <w:spacing w:val="0"/>
          <w:kern w:val="21"/>
          <w:sz w:val="32"/>
          <w:szCs w:val="32"/>
          <w:highlight w:val="none"/>
          <w:u w:val="none"/>
          <w:lang w:val="en-US" w:eastAsia="zh-CN" w:bidi="ar"/>
          <w14:ligatures w14:val="standardContextual"/>
        </w:rPr>
      </w:pPr>
      <w:r>
        <w:rPr>
          <w:rFonts w:hint="eastAsia" w:ascii="Times New Roman" w:hAnsi="Times New Roman" w:eastAsia="方正黑体_GBK" w:cs="方正黑体_GBK"/>
          <w:color w:val="auto"/>
          <w:spacing w:val="0"/>
          <w:kern w:val="21"/>
          <w:sz w:val="32"/>
          <w:szCs w:val="32"/>
          <w:highlight w:val="none"/>
          <w:u w:val="none"/>
          <w:lang w:val="en-US" w:eastAsia="zh-CN" w:bidi="ar"/>
          <w14:ligatures w14:val="standardContextual"/>
        </w:rPr>
        <w:t>第十六条（消防安全）</w:t>
      </w:r>
      <w:r>
        <w:rPr>
          <w:rFonts w:hint="eastAsia" w:ascii="Times New Roman" w:hAnsi="Times New Roman" w:eastAsia="方正仿宋_GBK" w:cs="方正仿宋_GBK"/>
          <w:color w:val="auto"/>
          <w:spacing w:val="0"/>
          <w:kern w:val="21"/>
          <w:sz w:val="32"/>
          <w:szCs w:val="32"/>
          <w:highlight w:val="none"/>
          <w:u w:val="none"/>
          <w:lang w:val="en-US" w:eastAsia="zh-CN" w:bidi="ar"/>
          <w14:ligatures w14:val="standardContextual"/>
        </w:rPr>
        <w:t>养老机构应当严格遵守消防安全有关的法律、法规、规章，执行强制性消防标准，建立健全消防安全管理制度，严格规范消防安全管理行为，预防火灾发生，减少火灾危害，保障老年人人身和财产安全。</w:t>
      </w:r>
    </w:p>
    <w:p w14:paraId="3B5AE105">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74" w:lineRule="exact"/>
        <w:ind w:left="0" w:leftChars="0" w:right="0" w:firstLine="640" w:firstLineChars="200"/>
        <w:jc w:val="both"/>
        <w:textAlignment w:val="auto"/>
        <w:rPr>
          <w:rFonts w:hint="default" w:ascii="Times New Roman" w:hAnsi="Times New Roman" w:eastAsia="方正仿宋_GBK" w:cs="方正仿宋_GBK"/>
          <w:color w:val="auto"/>
          <w:spacing w:val="0"/>
          <w:kern w:val="21"/>
          <w:sz w:val="32"/>
          <w:szCs w:val="32"/>
          <w:highlight w:val="none"/>
          <w:u w:val="none"/>
          <w:lang w:val="en-US" w:eastAsia="zh-CN" w:bidi="ar"/>
          <w14:ligatures w14:val="standardContextual"/>
        </w:rPr>
      </w:pPr>
      <w:r>
        <w:rPr>
          <w:rFonts w:hint="eastAsia" w:ascii="Times New Roman" w:hAnsi="Times New Roman" w:eastAsia="方正仿宋_GBK" w:cs="方正仿宋_GBK"/>
          <w:color w:val="auto"/>
          <w:spacing w:val="0"/>
          <w:kern w:val="21"/>
          <w:sz w:val="32"/>
          <w:szCs w:val="32"/>
          <w:highlight w:val="none"/>
          <w:u w:val="none"/>
          <w:lang w:val="en-US" w:eastAsia="zh-CN" w:bidi="ar"/>
          <w14:ligatures w14:val="standardContextual"/>
        </w:rPr>
        <w:t>养老机构应当建立健全逐级和全员消防安全责任制，明确相应的消防安全责任人员及职责，属于消防安全重点单位的养老机构应当确定消防安全管理人。</w:t>
      </w:r>
    </w:p>
    <w:p w14:paraId="01CC3622">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74" w:lineRule="exact"/>
        <w:ind w:left="0" w:leftChars="0" w:right="0" w:firstLine="640" w:firstLineChars="200"/>
        <w:jc w:val="both"/>
        <w:textAlignment w:val="auto"/>
        <w:rPr>
          <w:rFonts w:hint="default" w:ascii="Times New Roman" w:hAnsi="Times New Roman" w:eastAsia="方正仿宋_GBK" w:cs="方正仿宋_GBK"/>
          <w:color w:val="auto"/>
          <w:spacing w:val="0"/>
          <w:kern w:val="21"/>
          <w:sz w:val="32"/>
          <w:szCs w:val="32"/>
          <w:highlight w:val="none"/>
          <w:u w:val="none"/>
          <w:lang w:val="en-US" w:eastAsia="zh-CN" w:bidi="ar"/>
          <w14:ligatures w14:val="standardContextual"/>
        </w:rPr>
      </w:pPr>
      <w:r>
        <w:rPr>
          <w:rFonts w:hint="eastAsia" w:ascii="Times New Roman" w:hAnsi="Times New Roman" w:eastAsia="方正仿宋_GBK" w:cs="方正仿宋_GBK"/>
          <w:color w:val="auto"/>
          <w:spacing w:val="0"/>
          <w:kern w:val="21"/>
          <w:sz w:val="32"/>
          <w:szCs w:val="32"/>
          <w:highlight w:val="none"/>
          <w:u w:val="none"/>
          <w:lang w:val="en-US" w:eastAsia="zh-CN" w:bidi="ar"/>
          <w14:ligatures w14:val="standardContextual"/>
        </w:rPr>
        <w:t>养老机构应当制定灭火和应急疏散预案，开展定期防火巡查检查，组织消防演练及消防安全教育培训，并加强对老年人的消防安全提示和引导。</w:t>
      </w:r>
    </w:p>
    <w:p w14:paraId="399ED948">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74" w:lineRule="exact"/>
        <w:ind w:left="0" w:leftChars="0" w:right="0" w:firstLine="640" w:firstLineChars="200"/>
        <w:jc w:val="both"/>
        <w:textAlignment w:val="auto"/>
        <w:rPr>
          <w:rFonts w:hint="eastAsia" w:ascii="Times New Roman" w:hAnsi="Times New Roman" w:eastAsia="方正仿宋_GBK" w:cs="方正仿宋_GBK"/>
          <w:color w:val="auto"/>
          <w:spacing w:val="0"/>
          <w:kern w:val="21"/>
          <w:sz w:val="32"/>
          <w:szCs w:val="32"/>
          <w:highlight w:val="none"/>
          <w:u w:val="none"/>
          <w:lang w:val="en-US" w:eastAsia="zh-CN" w:bidi="ar"/>
          <w14:ligatures w14:val="standardContextual"/>
        </w:rPr>
      </w:pPr>
      <w:r>
        <w:rPr>
          <w:rFonts w:hint="eastAsia" w:ascii="Times New Roman" w:hAnsi="Times New Roman" w:eastAsia="方正黑体_GBK" w:cs="方正黑体_GBK"/>
          <w:color w:val="auto"/>
          <w:spacing w:val="0"/>
          <w:kern w:val="21"/>
          <w:sz w:val="32"/>
          <w:szCs w:val="32"/>
          <w:highlight w:val="none"/>
          <w:u w:val="none"/>
          <w:lang w:val="en-US" w:eastAsia="zh-CN" w:bidi="ar"/>
          <w14:ligatures w14:val="standardContextual"/>
        </w:rPr>
        <w:t>第十七条（应急管理）</w:t>
      </w:r>
      <w:r>
        <w:rPr>
          <w:rFonts w:hint="eastAsia" w:ascii="Times New Roman" w:hAnsi="Times New Roman" w:eastAsia="方正仿宋_GBK" w:cs="方正仿宋_GBK"/>
          <w:color w:val="auto"/>
          <w:spacing w:val="0"/>
          <w:kern w:val="21"/>
          <w:sz w:val="32"/>
          <w:szCs w:val="32"/>
          <w:highlight w:val="none"/>
          <w:u w:val="none"/>
          <w:lang w:val="en-US" w:eastAsia="zh-CN" w:bidi="ar"/>
          <w14:ligatures w14:val="standardContextual"/>
        </w:rPr>
        <w:t>养老机构应当建立安全生产“五预”工作机制，落实安全生产主体责任，制定安全管理制度并将责任细化到具体岗位和个人。</w:t>
      </w:r>
    </w:p>
    <w:p w14:paraId="18255181">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74" w:lineRule="exact"/>
        <w:ind w:left="0" w:leftChars="0" w:right="0" w:firstLine="640" w:firstLineChars="200"/>
        <w:jc w:val="both"/>
        <w:textAlignment w:val="auto"/>
        <w:rPr>
          <w:rFonts w:hint="eastAsia" w:ascii="Times New Roman" w:hAnsi="Times New Roman" w:eastAsia="方正仿宋_GBK" w:cs="方正仿宋_GBK"/>
          <w:color w:val="auto"/>
          <w:spacing w:val="0"/>
          <w:kern w:val="21"/>
          <w:sz w:val="32"/>
          <w:szCs w:val="32"/>
          <w:highlight w:val="none"/>
          <w:u w:val="none"/>
          <w:lang w:val="en-US" w:eastAsia="zh-CN" w:bidi="ar"/>
          <w14:ligatures w14:val="standardContextual"/>
        </w:rPr>
      </w:pPr>
      <w:r>
        <w:rPr>
          <w:rFonts w:hint="eastAsia" w:ascii="Times New Roman" w:hAnsi="Times New Roman" w:eastAsia="方正仿宋_GBK" w:cs="方正仿宋_GBK"/>
          <w:color w:val="auto"/>
          <w:spacing w:val="0"/>
          <w:kern w:val="21"/>
          <w:sz w:val="32"/>
          <w:szCs w:val="32"/>
          <w:highlight w:val="none"/>
          <w:u w:val="none"/>
          <w:lang w:val="en-US" w:eastAsia="zh-CN" w:bidi="ar"/>
          <w14:ligatures w14:val="standardContextual"/>
        </w:rPr>
        <w:t>养老机构应当制定突发事件应急预案，定期组织应急演练并评估总结预案有效性。突发事件发生后，立即启动预案，执行应急处置现场指挥官制度，采取必要措施防止危害扩大，按照职责分工及时向属地有关部门和民政部门报告，不得迟报、谎报、瞒报。</w:t>
      </w:r>
    </w:p>
    <w:p w14:paraId="647D8CF0">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74" w:lineRule="exact"/>
        <w:ind w:left="0" w:leftChars="0" w:right="0" w:firstLine="640" w:firstLineChars="200"/>
        <w:jc w:val="both"/>
        <w:textAlignment w:val="auto"/>
        <w:rPr>
          <w:rFonts w:hint="eastAsia" w:ascii="Times New Roman" w:hAnsi="Times New Roman" w:eastAsia="方正仿宋_GBK" w:cs="方正仿宋_GBK"/>
          <w:color w:val="auto"/>
          <w:spacing w:val="0"/>
          <w:kern w:val="21"/>
          <w:sz w:val="32"/>
          <w:szCs w:val="32"/>
          <w:highlight w:val="none"/>
          <w:u w:val="none"/>
          <w:lang w:val="en-US" w:eastAsia="zh-CN" w:bidi="ar"/>
          <w14:ligatures w14:val="standardContextual"/>
        </w:rPr>
      </w:pPr>
      <w:r>
        <w:rPr>
          <w:rFonts w:hint="eastAsia" w:ascii="Times New Roman" w:hAnsi="Times New Roman" w:eastAsia="方正仿宋_GBK" w:cs="方正仿宋_GBK"/>
          <w:color w:val="auto"/>
          <w:spacing w:val="0"/>
          <w:kern w:val="21"/>
          <w:sz w:val="32"/>
          <w:szCs w:val="32"/>
          <w:highlight w:val="none"/>
          <w:u w:val="none"/>
          <w:lang w:val="en-US" w:eastAsia="zh-CN" w:bidi="ar"/>
          <w14:ligatures w14:val="standardContextual"/>
        </w:rPr>
        <w:t>养老机构应当储备灭火器、消防栓、应急照明灯等应急物资，建立管理台账并安排专人定期检查维护。</w:t>
      </w:r>
    </w:p>
    <w:p w14:paraId="2DE46821">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74" w:lineRule="exact"/>
        <w:ind w:left="0" w:leftChars="0" w:right="0" w:firstLine="640" w:firstLineChars="200"/>
        <w:jc w:val="both"/>
        <w:textAlignment w:val="auto"/>
        <w:rPr>
          <w:rFonts w:hint="eastAsia" w:ascii="Times New Roman" w:hAnsi="Times New Roman" w:eastAsia="方正仿宋_GBK" w:cs="方正仿宋_GBK"/>
          <w:color w:val="auto"/>
          <w:spacing w:val="0"/>
          <w:kern w:val="21"/>
          <w:sz w:val="32"/>
          <w:szCs w:val="32"/>
          <w:highlight w:val="none"/>
          <w:u w:val="none"/>
          <w:lang w:val="en-US" w:eastAsia="zh-CN" w:bidi="ar"/>
          <w14:ligatures w14:val="standardContextual"/>
        </w:rPr>
      </w:pPr>
      <w:r>
        <w:rPr>
          <w:rFonts w:hint="eastAsia" w:ascii="Times New Roman" w:hAnsi="Times New Roman" w:eastAsia="方正黑体_GBK" w:cs="方正黑体_GBK"/>
          <w:color w:val="auto"/>
          <w:spacing w:val="0"/>
          <w:kern w:val="21"/>
          <w:sz w:val="32"/>
          <w:szCs w:val="32"/>
          <w:highlight w:val="none"/>
          <w:u w:val="none"/>
          <w:lang w:val="en-US" w:eastAsia="zh-CN" w:bidi="ar"/>
          <w14:ligatures w14:val="standardContextual"/>
        </w:rPr>
        <w:t>第十八条（特殊老年人管理）</w:t>
      </w:r>
      <w:r>
        <w:rPr>
          <w:rFonts w:hint="eastAsia" w:ascii="Times New Roman" w:hAnsi="Times New Roman" w:eastAsia="方正仿宋_GBK" w:cs="方正仿宋_GBK"/>
          <w:color w:val="auto"/>
          <w:spacing w:val="0"/>
          <w:kern w:val="21"/>
          <w:sz w:val="32"/>
          <w:szCs w:val="32"/>
          <w:highlight w:val="none"/>
          <w:u w:val="none"/>
          <w:lang w:val="en-US" w:eastAsia="zh-CN" w:bidi="ar"/>
          <w14:ligatures w14:val="standardContextual"/>
        </w:rPr>
        <w:t>养老机构发现老年人为传染病病人或者疑似传染病病人的，应当及时向附近的疾病预防控制机构或医疗机构报告，并配合实施卫生处理、隔离等预防控制措施；发现为疑似精神障碍患者的，应当及时通知其监护人、代理人，协助将其转送至专业医疗机构诊断。</w:t>
      </w:r>
    </w:p>
    <w:p w14:paraId="738B0AD4">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74" w:lineRule="exact"/>
        <w:ind w:left="0" w:leftChars="0" w:right="0" w:firstLine="640" w:firstLineChars="200"/>
        <w:jc w:val="both"/>
        <w:textAlignment w:val="auto"/>
        <w:rPr>
          <w:rFonts w:hint="eastAsia" w:ascii="Times New Roman" w:hAnsi="Times New Roman" w:eastAsia="方正仿宋_GBK" w:cs="方正仿宋_GBK"/>
          <w:color w:val="auto"/>
          <w:spacing w:val="0"/>
          <w:kern w:val="21"/>
          <w:sz w:val="32"/>
          <w:szCs w:val="32"/>
          <w:highlight w:val="none"/>
          <w:u w:val="none"/>
          <w:lang w:val="en-US" w:eastAsia="zh-CN" w:bidi="ar"/>
          <w14:ligatures w14:val="standardContextual"/>
        </w:rPr>
      </w:pPr>
      <w:r>
        <w:rPr>
          <w:rFonts w:hint="eastAsia" w:ascii="Times New Roman" w:hAnsi="Times New Roman" w:eastAsia="方正仿宋_GBK" w:cs="方正仿宋_GBK"/>
          <w:color w:val="auto"/>
          <w:spacing w:val="0"/>
          <w:kern w:val="21"/>
          <w:sz w:val="32"/>
          <w:szCs w:val="32"/>
          <w:highlight w:val="none"/>
          <w:u w:val="none"/>
          <w:lang w:val="en-US" w:eastAsia="zh-CN" w:bidi="ar"/>
          <w14:ligatures w14:val="standardContextual"/>
        </w:rPr>
        <w:t>养老机构应当遵守传染病防治、精神卫生有关法律、法规，根据自身服务能力及治疗、隔离和康复条件，确定是否收住传染病、精神障碍老年人。不具备收住条件的，不得接收；具备收住条件的，应当实行分区管理，采取隔离防护与专业护理措施，保障老年人获得妥善照护。</w:t>
      </w:r>
    </w:p>
    <w:p w14:paraId="59A78B07">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74" w:lineRule="exact"/>
        <w:ind w:left="0" w:leftChars="0" w:right="0" w:firstLine="640" w:firstLineChars="200"/>
        <w:jc w:val="both"/>
        <w:textAlignment w:val="auto"/>
        <w:rPr>
          <w:rFonts w:hint="eastAsia" w:ascii="Times New Roman" w:hAnsi="Times New Roman" w:eastAsia="方正仿宋_GBK" w:cs="方正仿宋_GBK"/>
          <w:color w:val="auto"/>
          <w:spacing w:val="0"/>
          <w:kern w:val="21"/>
          <w:sz w:val="32"/>
          <w:szCs w:val="32"/>
          <w:highlight w:val="none"/>
          <w:u w:val="none"/>
          <w:lang w:val="en-US" w:eastAsia="zh-CN" w:bidi="ar"/>
          <w14:ligatures w14:val="standardContextual"/>
        </w:rPr>
      </w:pPr>
      <w:r>
        <w:rPr>
          <w:rFonts w:hint="eastAsia" w:ascii="Times New Roman" w:hAnsi="Times New Roman" w:eastAsia="方正黑体_GBK" w:cs="方正黑体_GBK"/>
          <w:color w:val="auto"/>
          <w:spacing w:val="0"/>
          <w:kern w:val="21"/>
          <w:sz w:val="32"/>
          <w:szCs w:val="32"/>
          <w:highlight w:val="none"/>
          <w:u w:val="none"/>
          <w:lang w:val="en-US" w:eastAsia="zh-CN" w:bidi="ar"/>
          <w14:ligatures w14:val="standardContextual"/>
        </w:rPr>
        <w:t>第十九条（智慧化应用）</w:t>
      </w:r>
      <w:r>
        <w:rPr>
          <w:rFonts w:hint="eastAsia" w:ascii="Times New Roman" w:hAnsi="Times New Roman" w:eastAsia="方正仿宋_GBK" w:cs="方正仿宋_GBK"/>
          <w:color w:val="auto"/>
          <w:spacing w:val="0"/>
          <w:kern w:val="21"/>
          <w:sz w:val="32"/>
          <w:szCs w:val="32"/>
          <w:highlight w:val="none"/>
          <w:u w:val="none"/>
          <w:lang w:val="en-US" w:eastAsia="zh-CN" w:bidi="ar"/>
          <w14:ligatures w14:val="standardContextual"/>
        </w:rPr>
        <w:t>鼓励 养老机构结合自身条件，配置智能护理辅助、智能陪伴、安全监控等人工智能设施设备，提升养老服务质量与效率，实现老年人健康实时跟踪、老年人情感心理交流、机构内安全隐患预警等服务功能。</w:t>
      </w:r>
    </w:p>
    <w:p w14:paraId="377C872A">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74" w:lineRule="exact"/>
        <w:ind w:left="0" w:leftChars="0" w:right="0" w:firstLine="640" w:firstLineChars="200"/>
        <w:jc w:val="both"/>
        <w:textAlignment w:val="auto"/>
        <w:rPr>
          <w:rFonts w:hint="default" w:ascii="Times New Roman" w:hAnsi="Times New Roman" w:eastAsia="方正仿宋_GBK" w:cs="方正仿宋_GBK"/>
          <w:color w:val="auto"/>
          <w:spacing w:val="0"/>
          <w:kern w:val="21"/>
          <w:sz w:val="32"/>
          <w:szCs w:val="32"/>
          <w:highlight w:val="none"/>
          <w:u w:val="none"/>
          <w:lang w:val="en-US" w:eastAsia="zh-CN" w:bidi="ar"/>
          <w14:ligatures w14:val="standardContextual"/>
        </w:rPr>
      </w:pPr>
      <w:r>
        <w:rPr>
          <w:rFonts w:hint="eastAsia" w:ascii="Times New Roman" w:hAnsi="Times New Roman" w:eastAsia="方正仿宋_GBK" w:cs="方正仿宋_GBK"/>
          <w:color w:val="auto"/>
          <w:spacing w:val="0"/>
          <w:kern w:val="21"/>
          <w:sz w:val="32"/>
          <w:szCs w:val="32"/>
          <w:highlight w:val="none"/>
          <w:u w:val="none"/>
          <w:lang w:val="en-US" w:eastAsia="zh-CN" w:bidi="ar"/>
          <w14:ligatures w14:val="standardContextual"/>
        </w:rPr>
        <w:t>鼓励养老机构按需引入具备相应资质的脑机接口、数字疗法、机器人、人工智能技术等非药物干预技术。</w:t>
      </w:r>
    </w:p>
    <w:p w14:paraId="30699AF2">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74" w:lineRule="exact"/>
        <w:ind w:left="0" w:leftChars="0" w:right="0" w:firstLine="640" w:firstLineChars="200"/>
        <w:jc w:val="both"/>
        <w:textAlignment w:val="auto"/>
        <w:rPr>
          <w:rFonts w:hint="eastAsia" w:ascii="Times New Roman" w:hAnsi="Times New Roman" w:eastAsia="方正仿宋_GBK" w:cs="方正仿宋_GBK"/>
          <w:color w:val="auto"/>
          <w:spacing w:val="0"/>
          <w:kern w:val="21"/>
          <w:sz w:val="32"/>
          <w:szCs w:val="32"/>
          <w:highlight w:val="none"/>
          <w:u w:val="none"/>
          <w:lang w:val="en-US" w:eastAsia="zh-CN" w:bidi="ar"/>
          <w14:ligatures w14:val="standardContextual"/>
        </w:rPr>
      </w:pPr>
      <w:r>
        <w:rPr>
          <w:rFonts w:hint="eastAsia" w:ascii="Times New Roman" w:hAnsi="Times New Roman" w:eastAsia="方正黑体_GBK" w:cs="方正黑体_GBK"/>
          <w:color w:val="auto"/>
          <w:spacing w:val="0"/>
          <w:kern w:val="21"/>
          <w:sz w:val="32"/>
          <w:szCs w:val="32"/>
          <w:highlight w:val="none"/>
          <w:u w:val="none"/>
          <w:lang w:val="en-US" w:eastAsia="zh-CN" w:bidi="ar"/>
          <w14:ligatures w14:val="standardContextual"/>
        </w:rPr>
        <w:t>第二十条（资金支持）</w:t>
      </w:r>
      <w:r>
        <w:rPr>
          <w:rFonts w:hint="eastAsia" w:ascii="Times New Roman" w:hAnsi="Times New Roman" w:eastAsia="方正仿宋_GBK" w:cs="方正仿宋_GBK"/>
          <w:color w:val="auto"/>
          <w:spacing w:val="0"/>
          <w:kern w:val="21"/>
          <w:sz w:val="32"/>
          <w:szCs w:val="32"/>
          <w:highlight w:val="none"/>
          <w:u w:val="none"/>
          <w:lang w:val="en-US" w:eastAsia="zh-CN" w:bidi="ar"/>
          <w14:ligatures w14:val="standardContextual"/>
        </w:rPr>
        <w:t>市、县（市、区）人民政府应当将本级留存福利彩票公益金中不低于55%的资金用于支持养老服务，将特困人员救助供养资金、政府设立的特困人员供养服务机构的运转经费等列入同级财政预算。</w:t>
      </w:r>
    </w:p>
    <w:p w14:paraId="1B4FB830">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74" w:lineRule="exact"/>
        <w:ind w:left="0" w:leftChars="0" w:right="0" w:firstLine="640" w:firstLineChars="200"/>
        <w:jc w:val="both"/>
        <w:textAlignment w:val="auto"/>
        <w:rPr>
          <w:rFonts w:hint="eastAsia" w:ascii="Times New Roman" w:hAnsi="Times New Roman" w:eastAsia="方正仿宋_GBK" w:cs="方正仿宋_GBK"/>
          <w:color w:val="auto"/>
          <w:spacing w:val="0"/>
          <w:kern w:val="21"/>
          <w:sz w:val="32"/>
          <w:szCs w:val="32"/>
          <w:highlight w:val="none"/>
          <w:u w:val="none"/>
          <w:lang w:val="en-US" w:eastAsia="zh-CN" w:bidi="ar"/>
          <w14:ligatures w14:val="standardContextual"/>
        </w:rPr>
      </w:pPr>
      <w:r>
        <w:rPr>
          <w:rFonts w:hint="eastAsia" w:ascii="Times New Roman" w:hAnsi="Times New Roman" w:eastAsia="方正仿宋_GBK" w:cs="方正仿宋_GBK"/>
          <w:color w:val="auto"/>
          <w:spacing w:val="0"/>
          <w:kern w:val="21"/>
          <w:sz w:val="32"/>
          <w:szCs w:val="32"/>
          <w:highlight w:val="none"/>
          <w:u w:val="none"/>
          <w:lang w:val="en-US" w:eastAsia="zh-CN" w:bidi="ar"/>
          <w14:ligatures w14:val="standardContextual"/>
        </w:rPr>
        <w:t>鼓励金融机构加大对养老机构的信贷支持，创新抵押担保方式。市、县（市、区）人民政府可以通过贷款贴息、融资担保、风险补偿等方式，引导信贷资金和社会资金支持养老机构发展。</w:t>
      </w:r>
    </w:p>
    <w:p w14:paraId="4B108067">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74" w:lineRule="exact"/>
        <w:ind w:left="0" w:leftChars="0" w:right="0" w:firstLine="640" w:firstLineChars="200"/>
        <w:jc w:val="both"/>
        <w:textAlignment w:val="auto"/>
        <w:rPr>
          <w:rFonts w:hint="eastAsia" w:ascii="Times New Roman" w:hAnsi="Times New Roman" w:eastAsia="方正仿宋_GBK" w:cs="方正仿宋_GBK"/>
          <w:color w:val="auto"/>
          <w:spacing w:val="0"/>
          <w:kern w:val="21"/>
          <w:sz w:val="32"/>
          <w:szCs w:val="32"/>
          <w:highlight w:val="none"/>
          <w:u w:val="none"/>
          <w:lang w:val="en-US" w:eastAsia="zh-CN" w:bidi="ar"/>
          <w14:ligatures w14:val="standardContextual"/>
        </w:rPr>
      </w:pPr>
      <w:r>
        <w:rPr>
          <w:rFonts w:hint="eastAsia" w:ascii="Times New Roman" w:hAnsi="Times New Roman" w:eastAsia="方正仿宋_GBK" w:cs="方正仿宋_GBK"/>
          <w:color w:val="auto"/>
          <w:spacing w:val="0"/>
          <w:kern w:val="21"/>
          <w:sz w:val="32"/>
          <w:szCs w:val="32"/>
          <w:highlight w:val="none"/>
          <w:u w:val="none"/>
          <w:lang w:val="en-US" w:eastAsia="zh-CN" w:bidi="ar"/>
          <w14:ligatures w14:val="standardContextual"/>
        </w:rPr>
        <w:t xml:space="preserve">鼓励自然人、法人和非法人组织通过慈善捐赠等方式支持养老机构发展。 </w:t>
      </w:r>
    </w:p>
    <w:p w14:paraId="72F2F71A">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74" w:lineRule="exact"/>
        <w:ind w:left="0" w:leftChars="0" w:right="0" w:firstLine="640" w:firstLineChars="200"/>
        <w:jc w:val="both"/>
        <w:textAlignment w:val="auto"/>
        <w:rPr>
          <w:rFonts w:hint="eastAsia" w:ascii="Times New Roman" w:hAnsi="Times New Roman" w:eastAsia="方正仿宋_GBK" w:cs="方正仿宋_GBK"/>
          <w:color w:val="auto"/>
          <w:spacing w:val="0"/>
          <w:kern w:val="21"/>
          <w:sz w:val="32"/>
          <w:szCs w:val="32"/>
          <w:highlight w:val="none"/>
          <w:u w:val="none"/>
          <w:lang w:val="en-US" w:eastAsia="zh-CN" w:bidi="ar"/>
          <w14:ligatures w14:val="standardContextual"/>
        </w:rPr>
      </w:pPr>
      <w:r>
        <w:rPr>
          <w:rFonts w:hint="eastAsia" w:ascii="Times New Roman" w:hAnsi="Times New Roman" w:eastAsia="方正黑体_GBK" w:cs="方正黑体_GBK"/>
          <w:color w:val="auto"/>
          <w:spacing w:val="0"/>
          <w:kern w:val="21"/>
          <w:sz w:val="32"/>
          <w:szCs w:val="32"/>
          <w:highlight w:val="none"/>
          <w:u w:val="none"/>
          <w:lang w:val="en-US" w:eastAsia="zh-CN" w:bidi="ar"/>
          <w14:ligatures w14:val="standardContextual"/>
        </w:rPr>
        <w:t>第二十一条（税费和保险支持）</w:t>
      </w:r>
      <w:r>
        <w:rPr>
          <w:rFonts w:hint="eastAsia" w:ascii="Times New Roman" w:hAnsi="Times New Roman" w:eastAsia="方正仿宋_GBK" w:cs="方正仿宋_GBK"/>
          <w:color w:val="auto"/>
          <w:spacing w:val="0"/>
          <w:kern w:val="21"/>
          <w:sz w:val="32"/>
          <w:szCs w:val="32"/>
          <w:highlight w:val="none"/>
          <w:u w:val="none"/>
          <w:lang w:val="en-US" w:eastAsia="zh-CN" w:bidi="ar"/>
          <w14:ligatures w14:val="standardContextual"/>
        </w:rPr>
        <w:t>养老机构按照规定享受税收优惠、行政事业性收费减免，水电气享受居民价格优惠政策，符合条件的可以享受建设补贴、运营补贴及相关奖补。</w:t>
      </w:r>
    </w:p>
    <w:p w14:paraId="37ECCAEF">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74" w:lineRule="exact"/>
        <w:ind w:left="0" w:leftChars="0" w:right="0" w:firstLine="640" w:firstLineChars="200"/>
        <w:jc w:val="both"/>
        <w:textAlignment w:val="auto"/>
        <w:rPr>
          <w:rFonts w:hint="eastAsia" w:ascii="Times New Roman" w:hAnsi="Times New Roman" w:eastAsia="方正仿宋_GBK" w:cs="方正仿宋_GBK"/>
          <w:color w:val="auto"/>
          <w:spacing w:val="0"/>
          <w:kern w:val="21"/>
          <w:sz w:val="32"/>
          <w:szCs w:val="32"/>
          <w:highlight w:val="none"/>
          <w:u w:val="none"/>
          <w:lang w:val="en-US" w:eastAsia="zh-CN" w:bidi="ar"/>
          <w14:ligatures w14:val="standardContextual"/>
        </w:rPr>
      </w:pPr>
      <w:r>
        <w:rPr>
          <w:rFonts w:hint="eastAsia" w:ascii="Times New Roman" w:hAnsi="Times New Roman" w:eastAsia="方正仿宋_GBK" w:cs="方正仿宋_GBK"/>
          <w:color w:val="auto"/>
          <w:spacing w:val="0"/>
          <w:kern w:val="21"/>
          <w:sz w:val="32"/>
          <w:szCs w:val="32"/>
          <w:highlight w:val="none"/>
          <w:u w:val="none"/>
          <w:lang w:val="en-US" w:eastAsia="zh-CN" w:bidi="ar"/>
          <w14:ligatures w14:val="standardContextual"/>
        </w:rPr>
        <w:t>市、县（市、区）人民政府应当按照国家及本省、市有关规定推进实施长期护理保险，为符合条件的失能老年人提供基本生活护理服务。</w:t>
      </w:r>
    </w:p>
    <w:p w14:paraId="0D8714AB">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74" w:lineRule="exact"/>
        <w:ind w:left="0" w:leftChars="0" w:right="0" w:firstLine="640" w:firstLineChars="200"/>
        <w:jc w:val="both"/>
        <w:textAlignment w:val="auto"/>
        <w:rPr>
          <w:rFonts w:hint="eastAsia" w:ascii="Times New Roman" w:hAnsi="Times New Roman" w:eastAsia="方正仿宋_GBK" w:cs="方正仿宋_GBK"/>
          <w:color w:val="auto"/>
          <w:spacing w:val="0"/>
          <w:kern w:val="21"/>
          <w:sz w:val="32"/>
          <w:szCs w:val="32"/>
          <w:highlight w:val="none"/>
          <w:u w:val="none"/>
          <w:lang w:val="en-US" w:eastAsia="zh-CN" w:bidi="ar"/>
          <w14:ligatures w14:val="standardContextual"/>
        </w:rPr>
      </w:pPr>
      <w:r>
        <w:rPr>
          <w:rFonts w:hint="eastAsia" w:ascii="Times New Roman" w:hAnsi="Times New Roman" w:eastAsia="方正仿宋_GBK" w:cs="方正仿宋_GBK"/>
          <w:color w:val="auto"/>
          <w:spacing w:val="0"/>
          <w:kern w:val="21"/>
          <w:sz w:val="32"/>
          <w:szCs w:val="32"/>
          <w:highlight w:val="none"/>
          <w:u w:val="none"/>
          <w:lang w:val="en-US" w:eastAsia="zh-CN" w:bidi="ar"/>
          <w14:ligatures w14:val="standardContextual"/>
        </w:rPr>
        <w:t>市、县（市、区）人民政府应当健全高龄津贴制度，探索建立养老服务补贴和护理补贴制度，并根据经济社会发展水平动态调整。</w:t>
      </w:r>
    </w:p>
    <w:p w14:paraId="61E4875E">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74" w:lineRule="exact"/>
        <w:ind w:left="0" w:leftChars="0" w:right="0" w:firstLine="640" w:firstLineChars="200"/>
        <w:jc w:val="both"/>
        <w:textAlignment w:val="auto"/>
        <w:rPr>
          <w:rFonts w:hint="eastAsia" w:ascii="Times New Roman" w:hAnsi="Times New Roman" w:eastAsia="方正仿宋_GBK" w:cs="方正仿宋_GBK"/>
          <w:color w:val="auto"/>
          <w:spacing w:val="0"/>
          <w:kern w:val="21"/>
          <w:sz w:val="32"/>
          <w:szCs w:val="32"/>
          <w:highlight w:val="none"/>
          <w:u w:val="none"/>
          <w:lang w:val="en-US" w:eastAsia="zh-CN" w:bidi="ar"/>
          <w14:ligatures w14:val="standardContextual"/>
        </w:rPr>
      </w:pPr>
      <w:r>
        <w:rPr>
          <w:rFonts w:hint="eastAsia" w:ascii="Times New Roman" w:hAnsi="Times New Roman" w:eastAsia="方正黑体_GBK" w:cs="方正黑体_GBK"/>
          <w:color w:val="auto"/>
          <w:spacing w:val="0"/>
          <w:kern w:val="21"/>
          <w:sz w:val="32"/>
          <w:szCs w:val="32"/>
          <w:highlight w:val="none"/>
          <w:u w:val="none"/>
          <w:lang w:val="en-US" w:eastAsia="zh-CN" w:bidi="ar"/>
          <w14:ligatures w14:val="standardContextual"/>
        </w:rPr>
        <w:t>第二十二条（职业支持）</w:t>
      </w:r>
      <w:r>
        <w:rPr>
          <w:rFonts w:hint="eastAsia" w:ascii="Times New Roman" w:hAnsi="Times New Roman" w:eastAsia="方正仿宋_GBK" w:cs="方正仿宋_GBK"/>
          <w:color w:val="auto"/>
          <w:spacing w:val="0"/>
          <w:kern w:val="21"/>
          <w:sz w:val="32"/>
          <w:szCs w:val="32"/>
          <w:highlight w:val="none"/>
          <w:u w:val="none"/>
          <w:lang w:val="en-US" w:eastAsia="zh-CN" w:bidi="ar"/>
          <w14:ligatures w14:val="standardContextual"/>
        </w:rPr>
        <w:t>养老机构应当依法与工作人员依法签订劳动合同，并参加社会保险。超过法定退休年龄的劳动者按照国家有关规定执行。</w:t>
      </w:r>
    </w:p>
    <w:p w14:paraId="4D1ABF66">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74" w:lineRule="exact"/>
        <w:ind w:left="0" w:leftChars="0" w:right="0" w:firstLine="640" w:firstLineChars="200"/>
        <w:jc w:val="both"/>
        <w:textAlignment w:val="auto"/>
        <w:rPr>
          <w:rFonts w:hint="eastAsia" w:ascii="Times New Roman" w:hAnsi="Times New Roman" w:eastAsia="方正仿宋_GBK" w:cs="方正仿宋_GBK"/>
          <w:color w:val="auto"/>
          <w:spacing w:val="0"/>
          <w:kern w:val="21"/>
          <w:sz w:val="32"/>
          <w:szCs w:val="32"/>
          <w:highlight w:val="none"/>
          <w:u w:val="none"/>
          <w:lang w:val="en-US" w:eastAsia="zh-CN" w:bidi="ar"/>
          <w14:ligatures w14:val="standardContextual"/>
        </w:rPr>
      </w:pPr>
      <w:r>
        <w:rPr>
          <w:rFonts w:hint="eastAsia" w:ascii="Times New Roman" w:hAnsi="Times New Roman" w:eastAsia="方正仿宋_GBK" w:cs="方正仿宋_GBK"/>
          <w:color w:val="auto"/>
          <w:spacing w:val="0"/>
          <w:kern w:val="21"/>
          <w:sz w:val="32"/>
          <w:szCs w:val="32"/>
          <w:highlight w:val="none"/>
          <w:u w:val="none"/>
          <w:lang w:val="en-US" w:eastAsia="zh-CN" w:bidi="ar"/>
          <w14:ligatures w14:val="standardContextual"/>
        </w:rPr>
        <w:t>养老机构应当建立与职业等级相匹配的劳动报酬良性增长机制。符合条件的工作人员，享受一次性岗位补贴和从业年限补贴等人才补贴。</w:t>
      </w:r>
    </w:p>
    <w:p w14:paraId="2AE245A7">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74" w:lineRule="exact"/>
        <w:ind w:left="0" w:leftChars="0" w:right="0" w:firstLine="640" w:firstLineChars="200"/>
        <w:jc w:val="both"/>
        <w:textAlignment w:val="auto"/>
        <w:rPr>
          <w:rFonts w:hint="eastAsia" w:ascii="Times New Roman" w:hAnsi="Times New Roman" w:eastAsia="方正仿宋_GBK" w:cs="方正仿宋_GBK"/>
          <w:color w:val="auto"/>
          <w:spacing w:val="0"/>
          <w:kern w:val="21"/>
          <w:sz w:val="32"/>
          <w:szCs w:val="32"/>
          <w:highlight w:val="none"/>
          <w:u w:val="none"/>
          <w:lang w:val="en-US" w:eastAsia="zh-CN" w:bidi="ar"/>
          <w14:ligatures w14:val="standardContextual"/>
        </w:rPr>
      </w:pPr>
      <w:r>
        <w:rPr>
          <w:rFonts w:hint="eastAsia" w:ascii="Times New Roman" w:hAnsi="Times New Roman" w:eastAsia="方正仿宋_GBK" w:cs="方正仿宋_GBK"/>
          <w:color w:val="auto"/>
          <w:spacing w:val="0"/>
          <w:kern w:val="21"/>
          <w:sz w:val="32"/>
          <w:szCs w:val="32"/>
          <w:highlight w:val="none"/>
          <w:u w:val="none"/>
          <w:lang w:val="en-US" w:eastAsia="zh-CN" w:bidi="ar"/>
          <w14:ligatures w14:val="standardContextual"/>
        </w:rPr>
        <w:t>民政部门应当会同有关部门建立健全养老机构从业人员关怀保障与激励评价机制，强化对养老机构从业人员身体健康、心理疏导支持，加强职业荣誉宣传，营造社会尊重养老服务职业的良好氛围。</w:t>
      </w:r>
    </w:p>
    <w:p w14:paraId="6271BFDF">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74" w:lineRule="exact"/>
        <w:ind w:left="0" w:leftChars="0" w:right="0" w:firstLine="640" w:firstLineChars="200"/>
        <w:jc w:val="both"/>
        <w:textAlignment w:val="auto"/>
        <w:rPr>
          <w:rFonts w:hint="eastAsia" w:ascii="Times New Roman" w:hAnsi="Times New Roman" w:eastAsia="方正仿宋_GBK" w:cs="方正仿宋_GBK"/>
          <w:color w:val="auto"/>
          <w:spacing w:val="0"/>
          <w:kern w:val="21"/>
          <w:sz w:val="32"/>
          <w:szCs w:val="32"/>
          <w:highlight w:val="none"/>
          <w:u w:val="none"/>
          <w:lang w:val="en-US" w:eastAsia="zh" w:bidi="ar"/>
          <w14:ligatures w14:val="standardContextual"/>
        </w:rPr>
      </w:pPr>
      <w:r>
        <w:rPr>
          <w:rFonts w:hint="eastAsia" w:ascii="Times New Roman" w:hAnsi="Times New Roman" w:eastAsia="方正黑体_GBK" w:cs="方正黑体_GBK"/>
          <w:color w:val="auto"/>
          <w:spacing w:val="0"/>
          <w:kern w:val="21"/>
          <w:sz w:val="32"/>
          <w:szCs w:val="32"/>
          <w:highlight w:val="none"/>
          <w:u w:val="none"/>
          <w:lang w:val="en-US" w:eastAsia="zh-CN" w:bidi="ar"/>
          <w14:ligatures w14:val="standardContextual"/>
        </w:rPr>
        <w:t>第二十三条（综合监管）</w:t>
      </w:r>
      <w:r>
        <w:rPr>
          <w:rFonts w:hint="eastAsia" w:ascii="Times New Roman" w:hAnsi="Times New Roman" w:eastAsia="方正仿宋_GBK" w:cs="方正仿宋_GBK"/>
          <w:color w:val="auto"/>
          <w:spacing w:val="0"/>
          <w:kern w:val="21"/>
          <w:sz w:val="32"/>
          <w:szCs w:val="32"/>
          <w:highlight w:val="none"/>
          <w:u w:val="none"/>
          <w:lang w:val="en-US" w:eastAsia="zh" w:bidi="ar"/>
          <w14:ligatures w14:val="standardContextual"/>
        </w:rPr>
        <w:t>市、县</w:t>
      </w:r>
      <w:r>
        <w:rPr>
          <w:rFonts w:hint="eastAsia" w:ascii="Times New Roman" w:hAnsi="Times New Roman" w:eastAsia="方正仿宋_GBK" w:cs="方正仿宋_GBK"/>
          <w:color w:val="auto"/>
          <w:spacing w:val="0"/>
          <w:kern w:val="21"/>
          <w:sz w:val="32"/>
          <w:szCs w:val="32"/>
          <w:highlight w:val="none"/>
          <w:u w:val="none"/>
          <w:lang w:val="en-US" w:eastAsia="zh-CN" w:bidi="ar"/>
          <w14:ligatures w14:val="standardContextual"/>
        </w:rPr>
        <w:t>（</w:t>
      </w:r>
      <w:r>
        <w:rPr>
          <w:rFonts w:hint="eastAsia" w:ascii="Times New Roman" w:hAnsi="Times New Roman" w:eastAsia="方正仿宋_GBK" w:cs="方正仿宋_GBK"/>
          <w:color w:val="auto"/>
          <w:spacing w:val="0"/>
          <w:kern w:val="21"/>
          <w:sz w:val="32"/>
          <w:szCs w:val="32"/>
          <w:highlight w:val="none"/>
          <w:u w:val="none"/>
          <w:lang w:val="en-US" w:eastAsia="zh" w:bidi="ar"/>
          <w14:ligatures w14:val="standardContextual"/>
        </w:rPr>
        <w:t>市、区</w:t>
      </w:r>
      <w:r>
        <w:rPr>
          <w:rFonts w:hint="eastAsia" w:ascii="Times New Roman" w:hAnsi="Times New Roman" w:eastAsia="方正仿宋_GBK" w:cs="方正仿宋_GBK"/>
          <w:color w:val="auto"/>
          <w:spacing w:val="0"/>
          <w:kern w:val="21"/>
          <w:sz w:val="32"/>
          <w:szCs w:val="32"/>
          <w:highlight w:val="none"/>
          <w:u w:val="none"/>
          <w:lang w:val="en-US" w:eastAsia="zh-CN" w:bidi="ar"/>
          <w14:ligatures w14:val="standardContextual"/>
        </w:rPr>
        <w:t>）</w:t>
      </w:r>
      <w:r>
        <w:rPr>
          <w:rFonts w:hint="eastAsia" w:ascii="Times New Roman" w:hAnsi="Times New Roman" w:eastAsia="方正仿宋_GBK" w:cs="方正仿宋_GBK"/>
          <w:color w:val="auto"/>
          <w:spacing w:val="0"/>
          <w:kern w:val="21"/>
          <w:sz w:val="32"/>
          <w:szCs w:val="32"/>
          <w:highlight w:val="none"/>
          <w:u w:val="none"/>
          <w:lang w:val="en-US" w:eastAsia="zh" w:bidi="ar"/>
          <w14:ligatures w14:val="standardContextual"/>
        </w:rPr>
        <w:t>人民政府应当加强跨部门联合执法，建立健全养老机构综合监督管理机制。</w:t>
      </w:r>
    </w:p>
    <w:p w14:paraId="0E00864E">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74" w:lineRule="exact"/>
        <w:ind w:left="0" w:leftChars="0" w:right="0" w:firstLine="640" w:firstLineChars="200"/>
        <w:jc w:val="both"/>
        <w:textAlignment w:val="auto"/>
        <w:rPr>
          <w:rFonts w:hint="default" w:ascii="Times New Roman" w:hAnsi="Times New Roman" w:eastAsia="方正仿宋_GBK" w:cs="方正仿宋_GBK"/>
          <w:color w:val="auto"/>
          <w:spacing w:val="0"/>
          <w:kern w:val="21"/>
          <w:sz w:val="32"/>
          <w:szCs w:val="32"/>
          <w:highlight w:val="none"/>
          <w:u w:val="none"/>
          <w:lang w:val="en-US" w:eastAsia="zh-CN" w:bidi="ar"/>
          <w14:ligatures w14:val="standardContextual"/>
        </w:rPr>
      </w:pPr>
      <w:r>
        <w:rPr>
          <w:rFonts w:hint="eastAsia" w:ascii="Times New Roman" w:hAnsi="Times New Roman" w:eastAsia="方正仿宋_GBK" w:cs="方正仿宋_GBK"/>
          <w:color w:val="auto"/>
          <w:spacing w:val="0"/>
          <w:kern w:val="21"/>
          <w:sz w:val="32"/>
          <w:szCs w:val="32"/>
          <w:highlight w:val="none"/>
          <w:u w:val="none"/>
          <w:lang w:val="en-US" w:eastAsia="zh" w:bidi="ar"/>
          <w14:ligatures w14:val="standardContextual"/>
        </w:rPr>
        <w:t>民政部门应当会同有关部门，</w:t>
      </w:r>
      <w:r>
        <w:rPr>
          <w:rFonts w:hint="eastAsia" w:ascii="Times New Roman" w:hAnsi="Times New Roman" w:eastAsia="方正仿宋_GBK" w:cs="方正仿宋_GBK"/>
          <w:color w:val="auto"/>
          <w:spacing w:val="0"/>
          <w:kern w:val="21"/>
          <w:sz w:val="32"/>
          <w:szCs w:val="32"/>
          <w:highlight w:val="none"/>
          <w:u w:val="none"/>
          <w:lang w:val="en-US" w:eastAsia="zh-CN" w:bidi="ar"/>
          <w14:ligatures w14:val="standardContextual"/>
        </w:rPr>
        <w:t>依</w:t>
      </w:r>
      <w:r>
        <w:rPr>
          <w:rFonts w:hint="eastAsia" w:ascii="Times New Roman" w:hAnsi="Times New Roman" w:eastAsia="方正仿宋_GBK" w:cs="方正仿宋_GBK"/>
          <w:color w:val="auto"/>
          <w:spacing w:val="0"/>
          <w:kern w:val="21"/>
          <w:sz w:val="32"/>
          <w:szCs w:val="32"/>
          <w:highlight w:val="none"/>
          <w:u w:val="none"/>
          <w:lang w:val="en-US" w:eastAsia="zh" w:bidi="ar"/>
          <w14:ligatures w14:val="standardContextual"/>
        </w:rPr>
        <w:t>法定权限和程序规范行政检查，对养老机构建筑、设施设备、消防、食品、特种设备、资金等安全实施监督检查。发现安全隐患的，由民政部门会同监管部门按责监督整改；隐患突出或紧急的，由民政部门牵头责令停业整顿、采取紧急措施，并协调相关部门到场处理；需行政强制或强制执行的，由民政部门提请有权部门实施或申请法院处理；设施设备不符合安全生产强制性标准的，由民政部门通报有权部门依法查封、扣押；发现涉嫌非法集资、诈骗、遗弃老年人等违法犯罪行为的，应当及时报告并移交司法机关。</w:t>
      </w:r>
    </w:p>
    <w:p w14:paraId="4BE1E0DC">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74" w:lineRule="exact"/>
        <w:ind w:left="0" w:leftChars="0" w:right="0" w:firstLine="640" w:firstLineChars="200"/>
        <w:jc w:val="both"/>
        <w:textAlignment w:val="auto"/>
        <w:rPr>
          <w:rFonts w:hint="eastAsia" w:ascii="Times New Roman" w:hAnsi="Times New Roman" w:eastAsia="方正仿宋_GBK" w:cs="方正仿宋_GBK"/>
          <w:color w:val="auto"/>
          <w:spacing w:val="0"/>
          <w:kern w:val="21"/>
          <w:sz w:val="32"/>
          <w:szCs w:val="32"/>
          <w:highlight w:val="none"/>
          <w:u w:val="none"/>
          <w:lang w:val="en-US" w:eastAsia="zh" w:bidi="ar"/>
          <w14:ligatures w14:val="standardContextual"/>
        </w:rPr>
      </w:pPr>
      <w:r>
        <w:rPr>
          <w:rFonts w:hint="eastAsia" w:ascii="Times New Roman" w:hAnsi="Times New Roman" w:eastAsia="方正黑体_GBK" w:cs="方正黑体_GBK"/>
          <w:color w:val="auto"/>
          <w:spacing w:val="0"/>
          <w:kern w:val="21"/>
          <w:sz w:val="32"/>
          <w:szCs w:val="32"/>
          <w:highlight w:val="none"/>
          <w:u w:val="none"/>
          <w:lang w:val="en-US" w:eastAsia="zh-CN" w:bidi="ar"/>
          <w14:ligatures w14:val="standardContextual"/>
        </w:rPr>
        <w:t>第二十四条（信用和质量监管）</w:t>
      </w:r>
      <w:r>
        <w:rPr>
          <w:rFonts w:hint="eastAsia" w:ascii="Times New Roman" w:hAnsi="Times New Roman" w:eastAsia="方正仿宋_GBK" w:cs="方正仿宋_GBK"/>
          <w:color w:val="auto"/>
          <w:spacing w:val="0"/>
          <w:kern w:val="21"/>
          <w:sz w:val="32"/>
          <w:szCs w:val="32"/>
          <w:highlight w:val="none"/>
          <w:u w:val="none"/>
          <w:lang w:val="en-US" w:eastAsia="zh" w:bidi="ar"/>
          <w14:ligatures w14:val="standardContextual"/>
        </w:rPr>
        <w:t>市、县</w:t>
      </w:r>
      <w:r>
        <w:rPr>
          <w:rFonts w:hint="eastAsia" w:ascii="Times New Roman" w:hAnsi="Times New Roman" w:eastAsia="方正仿宋_GBK" w:cs="方正仿宋_GBK"/>
          <w:color w:val="auto"/>
          <w:spacing w:val="0"/>
          <w:kern w:val="21"/>
          <w:sz w:val="32"/>
          <w:szCs w:val="32"/>
          <w:highlight w:val="none"/>
          <w:u w:val="none"/>
          <w:lang w:val="en-US" w:eastAsia="zh-CN" w:bidi="ar"/>
          <w14:ligatures w14:val="standardContextual"/>
        </w:rPr>
        <w:t>（</w:t>
      </w:r>
      <w:r>
        <w:rPr>
          <w:rFonts w:hint="eastAsia" w:ascii="Times New Roman" w:hAnsi="Times New Roman" w:eastAsia="方正仿宋_GBK" w:cs="方正仿宋_GBK"/>
          <w:color w:val="auto"/>
          <w:spacing w:val="0"/>
          <w:kern w:val="21"/>
          <w:sz w:val="32"/>
          <w:szCs w:val="32"/>
          <w:highlight w:val="none"/>
          <w:u w:val="none"/>
          <w:lang w:val="en-US" w:eastAsia="zh" w:bidi="ar"/>
          <w14:ligatures w14:val="standardContextual"/>
        </w:rPr>
        <w:t>市、区</w:t>
      </w:r>
      <w:r>
        <w:rPr>
          <w:rFonts w:hint="eastAsia" w:ascii="Times New Roman" w:hAnsi="Times New Roman" w:eastAsia="方正仿宋_GBK" w:cs="方正仿宋_GBK"/>
          <w:color w:val="auto"/>
          <w:spacing w:val="0"/>
          <w:kern w:val="21"/>
          <w:sz w:val="32"/>
          <w:szCs w:val="32"/>
          <w:highlight w:val="none"/>
          <w:u w:val="none"/>
          <w:lang w:val="en-US" w:eastAsia="zh-CN" w:bidi="ar"/>
          <w14:ligatures w14:val="standardContextual"/>
        </w:rPr>
        <w:t>）</w:t>
      </w:r>
      <w:r>
        <w:rPr>
          <w:rFonts w:hint="eastAsia" w:ascii="Times New Roman" w:hAnsi="Times New Roman" w:eastAsia="方正仿宋_GBK" w:cs="方正仿宋_GBK"/>
          <w:color w:val="auto"/>
          <w:spacing w:val="0"/>
          <w:kern w:val="21"/>
          <w:sz w:val="32"/>
          <w:szCs w:val="32"/>
          <w:highlight w:val="none"/>
          <w:u w:val="none"/>
          <w:lang w:val="en-US" w:eastAsia="zh" w:bidi="ar"/>
          <w14:ligatures w14:val="standardContextual"/>
        </w:rPr>
        <w:t>人民政府应当加强养老机构信用体系建设，由民政部门会同有关部门建立养老机构及其服务人员的</w:t>
      </w:r>
      <w:r>
        <w:rPr>
          <w:rFonts w:hint="eastAsia" w:ascii="Times New Roman" w:hAnsi="Times New Roman" w:eastAsia="方正仿宋_GBK" w:cs="方正仿宋_GBK"/>
          <w:color w:val="auto"/>
          <w:spacing w:val="0"/>
          <w:kern w:val="21"/>
          <w:sz w:val="32"/>
          <w:szCs w:val="32"/>
          <w:highlight w:val="none"/>
          <w:u w:val="none"/>
          <w:lang w:val="en-US" w:eastAsia="zh-CN" w:bidi="ar"/>
          <w14:ligatures w14:val="standardContextual"/>
        </w:rPr>
        <w:t>执业</w:t>
      </w:r>
      <w:r>
        <w:rPr>
          <w:rFonts w:hint="eastAsia" w:ascii="Times New Roman" w:hAnsi="Times New Roman" w:eastAsia="方正仿宋_GBK" w:cs="方正仿宋_GBK"/>
          <w:color w:val="auto"/>
          <w:spacing w:val="0"/>
          <w:kern w:val="21"/>
          <w:sz w:val="32"/>
          <w:szCs w:val="32"/>
          <w:highlight w:val="none"/>
          <w:u w:val="none"/>
          <w:lang w:val="en-US" w:eastAsia="zh" w:bidi="ar"/>
          <w14:ligatures w14:val="standardContextual"/>
        </w:rPr>
        <w:t>记录制度，依法实施守信激励和失信惩戒。</w:t>
      </w:r>
    </w:p>
    <w:p w14:paraId="271F5DF9">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74" w:lineRule="exact"/>
        <w:ind w:left="0" w:leftChars="0" w:right="0" w:firstLine="640" w:firstLineChars="200"/>
        <w:jc w:val="both"/>
        <w:textAlignment w:val="auto"/>
        <w:rPr>
          <w:rFonts w:hint="eastAsia" w:ascii="Times New Roman" w:hAnsi="Times New Roman" w:eastAsia="方正仿宋_GBK" w:cs="方正仿宋_GBK"/>
          <w:color w:val="auto"/>
          <w:spacing w:val="0"/>
          <w:kern w:val="21"/>
          <w:sz w:val="32"/>
          <w:szCs w:val="32"/>
          <w:highlight w:val="none"/>
          <w:u w:val="none"/>
          <w:lang w:val="en-US" w:eastAsia="zh" w:bidi="ar"/>
          <w14:ligatures w14:val="standardContextual"/>
        </w:rPr>
      </w:pPr>
      <w:r>
        <w:rPr>
          <w:rFonts w:hint="eastAsia" w:ascii="Times New Roman" w:hAnsi="Times New Roman" w:eastAsia="方正仿宋_GBK" w:cs="方正仿宋_GBK"/>
          <w:color w:val="auto"/>
          <w:spacing w:val="0"/>
          <w:kern w:val="21"/>
          <w:sz w:val="32"/>
          <w:szCs w:val="32"/>
          <w:highlight w:val="none"/>
          <w:u w:val="none"/>
          <w:lang w:val="en-US" w:eastAsia="zh" w:bidi="ar"/>
          <w14:ligatures w14:val="standardContextual"/>
        </w:rPr>
        <w:t>民政部门应当建立养老机构等级评定制度</w:t>
      </w:r>
      <w:r>
        <w:rPr>
          <w:rFonts w:hint="eastAsia" w:ascii="Times New Roman" w:hAnsi="Times New Roman" w:eastAsia="方正仿宋_GBK" w:cs="方正仿宋_GBK"/>
          <w:color w:val="auto"/>
          <w:spacing w:val="0"/>
          <w:kern w:val="21"/>
          <w:sz w:val="32"/>
          <w:szCs w:val="32"/>
          <w:highlight w:val="none"/>
          <w:u w:val="none"/>
          <w:lang w:val="en-US" w:eastAsia="zh-CN" w:bidi="ar"/>
          <w14:ligatures w14:val="standardContextual"/>
        </w:rPr>
        <w:t>，鼓励有条件的机构积极参加养老机构的等级评定，</w:t>
      </w:r>
      <w:r>
        <w:rPr>
          <w:rFonts w:hint="eastAsia" w:ascii="Times New Roman" w:hAnsi="Times New Roman" w:eastAsia="方正仿宋_GBK" w:cs="方正仿宋_GBK"/>
          <w:color w:val="auto"/>
          <w:spacing w:val="0"/>
          <w:kern w:val="21"/>
          <w:sz w:val="32"/>
          <w:szCs w:val="32"/>
          <w:highlight w:val="none"/>
          <w:u w:val="none"/>
          <w:lang w:val="en-US" w:eastAsia="zh" w:bidi="ar"/>
          <w14:ligatures w14:val="standardContextual"/>
        </w:rPr>
        <w:t>评定结果作为发放相关奖励、补贴以及政府购买服务的重要参考。</w:t>
      </w:r>
    </w:p>
    <w:p w14:paraId="2AFC4ECC">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74" w:lineRule="exact"/>
        <w:ind w:left="0" w:leftChars="0" w:right="0" w:firstLine="640" w:firstLineChars="200"/>
        <w:jc w:val="both"/>
        <w:textAlignment w:val="auto"/>
        <w:rPr>
          <w:rFonts w:hint="eastAsia" w:ascii="Times New Roman" w:hAnsi="Times New Roman" w:eastAsia="方正仿宋_GBK" w:cs="方正仿宋_GBK"/>
          <w:color w:val="auto"/>
          <w:spacing w:val="0"/>
          <w:kern w:val="21"/>
          <w:sz w:val="32"/>
          <w:szCs w:val="32"/>
          <w:highlight w:val="none"/>
          <w:u w:val="none"/>
          <w:lang w:val="en-US" w:eastAsia="zh" w:bidi="ar"/>
          <w14:ligatures w14:val="standardContextual"/>
        </w:rPr>
      </w:pPr>
      <w:r>
        <w:rPr>
          <w:rFonts w:hint="eastAsia" w:ascii="Times New Roman" w:hAnsi="Times New Roman" w:eastAsia="方正仿宋_GBK" w:cs="方正仿宋_GBK"/>
          <w:color w:val="auto"/>
          <w:spacing w:val="0"/>
          <w:kern w:val="21"/>
          <w:sz w:val="32"/>
          <w:szCs w:val="32"/>
          <w:highlight w:val="none"/>
          <w:u w:val="none"/>
          <w:lang w:val="en-US" w:eastAsia="zh" w:bidi="ar"/>
          <w14:ligatures w14:val="standardContextual"/>
        </w:rPr>
        <w:t>民政部门应当会同市场监管等有关部门建立健全养老服务标准体系，强化养老机构标准化实施与监督。</w:t>
      </w:r>
    </w:p>
    <w:p w14:paraId="280814F8">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74" w:lineRule="exact"/>
        <w:ind w:left="0" w:leftChars="0" w:right="0" w:firstLine="640" w:firstLineChars="200"/>
        <w:jc w:val="both"/>
        <w:textAlignment w:val="auto"/>
        <w:rPr>
          <w:rFonts w:hint="eastAsia" w:ascii="Times New Roman" w:hAnsi="Times New Roman" w:eastAsia="方正黑体_GBK" w:cs="方正黑体_GBK"/>
          <w:color w:val="auto"/>
          <w:spacing w:val="0"/>
          <w:kern w:val="21"/>
          <w:sz w:val="32"/>
          <w:szCs w:val="32"/>
          <w:highlight w:val="none"/>
          <w:u w:val="none"/>
          <w:lang w:val="en-US" w:eastAsia="zh-CN" w:bidi="ar"/>
          <w14:ligatures w14:val="standardContextual"/>
        </w:rPr>
      </w:pPr>
      <w:r>
        <w:rPr>
          <w:rFonts w:hint="eastAsia" w:ascii="Times New Roman" w:hAnsi="Times New Roman" w:eastAsia="方正黑体_GBK" w:cs="方正黑体_GBK"/>
          <w:color w:val="auto"/>
          <w:spacing w:val="0"/>
          <w:kern w:val="21"/>
          <w:sz w:val="32"/>
          <w:szCs w:val="32"/>
          <w:highlight w:val="none"/>
          <w:u w:val="none"/>
          <w:lang w:val="en-US" w:eastAsia="zh-CN" w:bidi="ar"/>
          <w14:ligatures w14:val="standardContextual"/>
        </w:rPr>
        <w:t>第二十五条（社会监督）</w:t>
      </w:r>
      <w:r>
        <w:rPr>
          <w:rFonts w:hint="eastAsia" w:ascii="Times New Roman" w:hAnsi="Times New Roman" w:eastAsia="方正仿宋_GBK" w:cs="方正仿宋_GBK"/>
          <w:color w:val="auto"/>
          <w:spacing w:val="0"/>
          <w:kern w:val="21"/>
          <w:sz w:val="32"/>
          <w:szCs w:val="32"/>
          <w:highlight w:val="none"/>
          <w:u w:val="none"/>
          <w:lang w:val="en-US" w:eastAsia="zh" w:bidi="ar"/>
          <w14:ligatures w14:val="standardContextual"/>
        </w:rPr>
        <w:t>民政部门应当建立举报投诉制度，公开举报投诉的电话、电子邮箱、网络平台等，依法受理对养老机构有关问题的举报和投诉。对接到的举报、投诉，应当</w:t>
      </w:r>
      <w:r>
        <w:rPr>
          <w:rFonts w:hint="eastAsia" w:ascii="Times New Roman" w:hAnsi="Times New Roman" w:eastAsia="方正仿宋_GBK" w:cs="方正仿宋_GBK"/>
          <w:color w:val="auto"/>
          <w:spacing w:val="0"/>
          <w:kern w:val="21"/>
          <w:sz w:val="32"/>
          <w:szCs w:val="32"/>
          <w:highlight w:val="none"/>
          <w:u w:val="none"/>
          <w:lang w:val="en-US" w:eastAsia="zh-CN" w:bidi="ar"/>
          <w14:ligatures w14:val="standardContextual"/>
        </w:rPr>
        <w:t>及时</w:t>
      </w:r>
      <w:r>
        <w:rPr>
          <w:rFonts w:hint="eastAsia" w:ascii="Times New Roman" w:hAnsi="Times New Roman" w:eastAsia="方正仿宋_GBK" w:cs="方正仿宋_GBK"/>
          <w:color w:val="auto"/>
          <w:spacing w:val="0"/>
          <w:kern w:val="21"/>
          <w:sz w:val="32"/>
          <w:szCs w:val="32"/>
          <w:highlight w:val="none"/>
          <w:u w:val="none"/>
          <w:lang w:val="en-US" w:eastAsia="zh" w:bidi="ar"/>
          <w14:ligatures w14:val="standardContextual"/>
        </w:rPr>
        <w:t>核实处理，并将结果告知举报人、投诉人。</w:t>
      </w:r>
    </w:p>
    <w:p w14:paraId="025A3857">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74" w:lineRule="exact"/>
        <w:ind w:left="0" w:leftChars="0" w:right="0" w:firstLine="640" w:firstLineChars="200"/>
        <w:jc w:val="both"/>
        <w:textAlignment w:val="auto"/>
        <w:rPr>
          <w:rFonts w:hint="eastAsia" w:ascii="Times New Roman" w:hAnsi="Times New Roman" w:eastAsia="方正仿宋_GBK" w:cs="方正仿宋_GBK"/>
          <w:color w:val="auto"/>
          <w:kern w:val="44"/>
          <w:sz w:val="32"/>
          <w:szCs w:val="32"/>
          <w:highlight w:val="none"/>
          <w:u w:val="none"/>
          <w:lang w:val="en-US" w:eastAsia="zh-CN" w:bidi="ar"/>
          <w14:ligatures w14:val="standardContextual"/>
        </w:rPr>
      </w:pPr>
      <w:r>
        <w:rPr>
          <w:rFonts w:hint="eastAsia" w:ascii="Times New Roman" w:hAnsi="Times New Roman" w:eastAsia="方正黑体_GBK" w:cs="方正黑体_GBK"/>
          <w:color w:val="auto"/>
          <w:spacing w:val="0"/>
          <w:kern w:val="21"/>
          <w:sz w:val="32"/>
          <w:szCs w:val="32"/>
          <w:highlight w:val="none"/>
          <w:u w:val="none"/>
          <w:lang w:val="en-US" w:eastAsia="zh-CN" w:bidi="ar"/>
          <w14:ligatures w14:val="standardContextual"/>
        </w:rPr>
        <w:t>第二十六条（养老机构违规经营法律责任）</w:t>
      </w:r>
      <w:r>
        <w:rPr>
          <w:rFonts w:hint="eastAsia" w:ascii="Times New Roman" w:hAnsi="Times New Roman" w:eastAsia="方正仿宋_GBK" w:cs="方正仿宋_GBK"/>
          <w:color w:val="auto"/>
          <w:kern w:val="44"/>
          <w:sz w:val="32"/>
          <w:szCs w:val="32"/>
          <w:highlight w:val="none"/>
          <w:u w:val="none"/>
          <w:lang w:val="en-US" w:eastAsia="zh-CN" w:bidi="ar"/>
          <w14:ligatures w14:val="standardContextual"/>
        </w:rPr>
        <w:t>养老机构有下列行为之一的，由民政部门责令限期改正，给予警告；逾期未改正的，处二千元以上一万元以下罚款；情节严重的，处一万元以上十万元以下罚款；构成犯罪的，依法追究刑事责任：</w:t>
      </w:r>
    </w:p>
    <w:p w14:paraId="73871653">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74" w:lineRule="exact"/>
        <w:ind w:left="0" w:leftChars="0" w:right="0" w:firstLine="640" w:firstLineChars="200"/>
        <w:jc w:val="both"/>
        <w:textAlignment w:val="auto"/>
        <w:rPr>
          <w:rFonts w:hint="eastAsia" w:ascii="Times New Roman" w:hAnsi="Times New Roman" w:eastAsia="方正仿宋_GBK" w:cs="方正仿宋_GBK"/>
          <w:color w:val="auto"/>
          <w:kern w:val="44"/>
          <w:sz w:val="32"/>
          <w:szCs w:val="32"/>
          <w:highlight w:val="none"/>
          <w:u w:val="none"/>
          <w:lang w:val="en-US" w:eastAsia="zh-CN" w:bidi="ar"/>
          <w14:ligatures w14:val="standardContextual"/>
        </w:rPr>
      </w:pPr>
      <w:r>
        <w:rPr>
          <w:rFonts w:hint="eastAsia" w:ascii="Times New Roman" w:hAnsi="Times New Roman" w:eastAsia="方正仿宋_GBK" w:cs="方正仿宋_GBK"/>
          <w:color w:val="auto"/>
          <w:kern w:val="44"/>
          <w:sz w:val="32"/>
          <w:szCs w:val="32"/>
          <w:highlight w:val="none"/>
          <w:u w:val="none"/>
          <w:lang w:val="en-US" w:eastAsia="zh-CN" w:bidi="ar"/>
          <w14:ligatures w14:val="standardContextual"/>
        </w:rPr>
        <w:t>（一）未按照规定开展老年人能力评估的；</w:t>
      </w:r>
    </w:p>
    <w:p w14:paraId="2A97CC53">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74" w:lineRule="exact"/>
        <w:ind w:left="0" w:leftChars="0" w:right="0" w:firstLine="640" w:firstLineChars="200"/>
        <w:jc w:val="both"/>
        <w:textAlignment w:val="auto"/>
        <w:rPr>
          <w:rFonts w:hint="eastAsia" w:ascii="Times New Roman" w:hAnsi="Times New Roman" w:eastAsia="方正仿宋_GBK" w:cs="方正仿宋_GBK"/>
          <w:color w:val="auto"/>
          <w:kern w:val="44"/>
          <w:sz w:val="32"/>
          <w:szCs w:val="32"/>
          <w:highlight w:val="none"/>
          <w:u w:val="none"/>
          <w:lang w:val="en-US" w:eastAsia="zh-CN" w:bidi="ar"/>
          <w14:ligatures w14:val="standardContextual"/>
        </w:rPr>
      </w:pPr>
      <w:r>
        <w:rPr>
          <w:rFonts w:hint="eastAsia" w:ascii="Times New Roman" w:hAnsi="Times New Roman" w:eastAsia="方正仿宋_GBK" w:cs="方正仿宋_GBK"/>
          <w:color w:val="auto"/>
          <w:kern w:val="44"/>
          <w:sz w:val="32"/>
          <w:szCs w:val="32"/>
          <w:highlight w:val="none"/>
          <w:u w:val="none"/>
          <w:lang w:val="en-US" w:eastAsia="zh-CN" w:bidi="ar"/>
          <w14:ligatures w14:val="standardContextual"/>
        </w:rPr>
        <w:t>（二）未与入住老年人或者其监护人、代理人签订服务合同的；</w:t>
      </w:r>
    </w:p>
    <w:p w14:paraId="3EE4D921">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74" w:lineRule="exact"/>
        <w:ind w:left="0" w:leftChars="0" w:right="0" w:firstLine="640" w:firstLineChars="200"/>
        <w:jc w:val="both"/>
        <w:textAlignment w:val="auto"/>
        <w:rPr>
          <w:rFonts w:hint="eastAsia" w:ascii="Times New Roman" w:hAnsi="Times New Roman" w:eastAsia="方正仿宋_GBK" w:cs="方正仿宋_GBK"/>
          <w:color w:val="auto"/>
          <w:kern w:val="44"/>
          <w:sz w:val="32"/>
          <w:szCs w:val="32"/>
          <w:highlight w:val="none"/>
          <w:u w:val="none"/>
          <w:lang w:val="en-US" w:eastAsia="zh-CN" w:bidi="ar"/>
          <w14:ligatures w14:val="standardContextual"/>
        </w:rPr>
      </w:pPr>
      <w:r>
        <w:rPr>
          <w:rFonts w:hint="eastAsia" w:ascii="Times New Roman" w:hAnsi="Times New Roman" w:eastAsia="方正仿宋_GBK" w:cs="方正仿宋_GBK"/>
          <w:color w:val="auto"/>
          <w:kern w:val="44"/>
          <w:sz w:val="32"/>
          <w:szCs w:val="32"/>
          <w:highlight w:val="none"/>
          <w:u w:val="none"/>
          <w:lang w:val="en-US" w:eastAsia="zh-CN" w:bidi="ar"/>
          <w14:ligatures w14:val="standardContextual"/>
        </w:rPr>
        <w:t>（三）未按照规定或者协议约定提供服务的，或者利用养老机构的房屋、场地、设备，开展与养老服务无关活动的；</w:t>
      </w:r>
    </w:p>
    <w:p w14:paraId="7F6AA674">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74" w:lineRule="exact"/>
        <w:ind w:left="0" w:leftChars="0" w:right="0" w:firstLine="640" w:firstLineChars="200"/>
        <w:jc w:val="both"/>
        <w:textAlignment w:val="auto"/>
        <w:rPr>
          <w:rFonts w:hint="eastAsia" w:ascii="Times New Roman" w:hAnsi="Times New Roman" w:eastAsia="方正仿宋_GBK" w:cs="方正仿宋_GBK"/>
          <w:color w:val="auto"/>
          <w:kern w:val="44"/>
          <w:sz w:val="32"/>
          <w:szCs w:val="32"/>
          <w:highlight w:val="none"/>
          <w:u w:val="none"/>
          <w:lang w:val="en-US" w:eastAsia="zh-CN" w:bidi="ar"/>
          <w14:ligatures w14:val="standardContextual"/>
        </w:rPr>
      </w:pPr>
      <w:r>
        <w:rPr>
          <w:rFonts w:hint="eastAsia" w:ascii="Times New Roman" w:hAnsi="Times New Roman" w:eastAsia="方正仿宋_GBK" w:cs="方正仿宋_GBK"/>
          <w:color w:val="auto"/>
          <w:kern w:val="44"/>
          <w:sz w:val="32"/>
          <w:szCs w:val="32"/>
          <w:highlight w:val="none"/>
          <w:u w:val="none"/>
          <w:lang w:val="en-US" w:eastAsia="zh-CN" w:bidi="ar"/>
          <w14:ligatures w14:val="standardContextual"/>
        </w:rPr>
        <w:t>（四）收取预收费违反相关规定的；</w:t>
      </w:r>
    </w:p>
    <w:p w14:paraId="3A84D742">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74" w:lineRule="exact"/>
        <w:ind w:left="0" w:leftChars="0" w:right="0" w:firstLine="640" w:firstLineChars="200"/>
        <w:jc w:val="both"/>
        <w:textAlignment w:val="auto"/>
        <w:rPr>
          <w:rFonts w:hint="eastAsia" w:ascii="Times New Roman" w:hAnsi="Times New Roman" w:eastAsia="方正仿宋_GBK" w:cs="方正仿宋_GBK"/>
          <w:color w:val="auto"/>
          <w:kern w:val="44"/>
          <w:sz w:val="32"/>
          <w:szCs w:val="32"/>
          <w:highlight w:val="none"/>
          <w:u w:val="none"/>
          <w:lang w:val="en-US" w:eastAsia="zh-CN" w:bidi="ar"/>
          <w14:ligatures w14:val="standardContextual"/>
        </w:rPr>
      </w:pPr>
      <w:r>
        <w:rPr>
          <w:rFonts w:hint="eastAsia" w:ascii="Times New Roman" w:hAnsi="Times New Roman" w:eastAsia="方正仿宋_GBK" w:cs="方正仿宋_GBK"/>
          <w:color w:val="auto"/>
          <w:kern w:val="44"/>
          <w:sz w:val="32"/>
          <w:szCs w:val="32"/>
          <w:highlight w:val="none"/>
          <w:u w:val="none"/>
          <w:lang w:val="en-US" w:eastAsia="zh-CN" w:bidi="ar"/>
          <w14:ligatures w14:val="standardContextual"/>
        </w:rPr>
        <w:t>（五）配备工作人员的资格和数量不符合规定的；</w:t>
      </w:r>
    </w:p>
    <w:p w14:paraId="2945C1EB">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74" w:lineRule="exact"/>
        <w:ind w:left="0" w:leftChars="0" w:right="0" w:firstLine="640" w:firstLineChars="200"/>
        <w:jc w:val="both"/>
        <w:textAlignment w:val="auto"/>
        <w:rPr>
          <w:rFonts w:hint="eastAsia" w:ascii="Times New Roman" w:hAnsi="Times New Roman" w:eastAsia="方正仿宋_GBK" w:cs="方正仿宋_GBK"/>
          <w:color w:val="auto"/>
          <w:kern w:val="44"/>
          <w:sz w:val="32"/>
          <w:szCs w:val="32"/>
          <w:highlight w:val="none"/>
          <w:u w:val="none"/>
          <w:lang w:val="en-US" w:eastAsia="zh-CN" w:bidi="ar"/>
          <w14:ligatures w14:val="standardContextual"/>
        </w:rPr>
      </w:pPr>
      <w:r>
        <w:rPr>
          <w:rFonts w:hint="eastAsia" w:ascii="Times New Roman" w:hAnsi="Times New Roman" w:eastAsia="方正仿宋_GBK" w:cs="方正仿宋_GBK"/>
          <w:color w:val="auto"/>
          <w:kern w:val="44"/>
          <w:sz w:val="32"/>
          <w:szCs w:val="32"/>
          <w:highlight w:val="none"/>
          <w:u w:val="none"/>
          <w:lang w:val="en-US" w:eastAsia="zh-CN" w:bidi="ar"/>
          <w14:ligatures w14:val="standardContextual"/>
        </w:rPr>
        <w:t>（六）歧视、侮辱、虐待老年人及其他侵害老年人人身和财产权益行为的；</w:t>
      </w:r>
    </w:p>
    <w:p w14:paraId="5A7492C2">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74" w:lineRule="exact"/>
        <w:ind w:left="0" w:leftChars="0" w:right="0" w:firstLine="640" w:firstLineChars="200"/>
        <w:jc w:val="both"/>
        <w:textAlignment w:val="auto"/>
        <w:rPr>
          <w:rFonts w:hint="eastAsia" w:ascii="Times New Roman" w:hAnsi="Times New Roman" w:eastAsia="方正仿宋_GBK" w:cs="方正仿宋_GBK"/>
          <w:color w:val="auto"/>
          <w:kern w:val="44"/>
          <w:sz w:val="32"/>
          <w:szCs w:val="32"/>
          <w:highlight w:val="none"/>
          <w:u w:val="none"/>
          <w:lang w:val="en-US" w:eastAsia="zh-CN" w:bidi="ar"/>
          <w14:ligatures w14:val="standardContextual"/>
        </w:rPr>
      </w:pPr>
      <w:r>
        <w:rPr>
          <w:rFonts w:hint="eastAsia" w:ascii="Times New Roman" w:hAnsi="Times New Roman" w:eastAsia="方正仿宋_GBK" w:cs="方正仿宋_GBK"/>
          <w:color w:val="auto"/>
          <w:kern w:val="44"/>
          <w:sz w:val="32"/>
          <w:szCs w:val="32"/>
          <w:highlight w:val="none"/>
          <w:u w:val="none"/>
          <w:lang w:val="en-US" w:eastAsia="zh-CN" w:bidi="ar"/>
          <w14:ligatures w14:val="standardContextual"/>
        </w:rPr>
        <w:t>（七）未依照本条例规定预防和处置突发事件的；</w:t>
      </w:r>
    </w:p>
    <w:p w14:paraId="6F1139ED">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74" w:lineRule="exact"/>
        <w:ind w:left="0" w:leftChars="0" w:right="0" w:firstLine="640" w:firstLineChars="200"/>
        <w:jc w:val="both"/>
        <w:textAlignment w:val="auto"/>
        <w:rPr>
          <w:rFonts w:hint="eastAsia" w:ascii="Times New Roman" w:hAnsi="Times New Roman" w:eastAsia="方正仿宋_GBK" w:cs="方正仿宋_GBK"/>
          <w:color w:val="auto"/>
          <w:kern w:val="44"/>
          <w:sz w:val="32"/>
          <w:szCs w:val="32"/>
          <w:highlight w:val="none"/>
          <w:u w:val="none"/>
          <w:lang w:val="en-US" w:eastAsia="zh-CN" w:bidi="ar"/>
          <w14:ligatures w14:val="standardContextual"/>
        </w:rPr>
      </w:pPr>
      <w:r>
        <w:rPr>
          <w:rFonts w:hint="eastAsia" w:ascii="Times New Roman" w:hAnsi="Times New Roman" w:eastAsia="方正仿宋_GBK" w:cs="方正仿宋_GBK"/>
          <w:color w:val="auto"/>
          <w:kern w:val="44"/>
          <w:sz w:val="32"/>
          <w:szCs w:val="32"/>
          <w:highlight w:val="none"/>
          <w:u w:val="none"/>
          <w:lang w:val="en-US" w:eastAsia="zh-CN" w:bidi="ar"/>
          <w14:ligatures w14:val="standardContextual"/>
        </w:rPr>
        <w:t>（八）擅自暂停、终止养老服务，未按照规定向民政部门报告且未妥善安置老年人的；</w:t>
      </w:r>
    </w:p>
    <w:p w14:paraId="443C2FA1">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74" w:lineRule="exact"/>
        <w:ind w:left="0" w:leftChars="0" w:right="0" w:firstLine="640" w:firstLineChars="200"/>
        <w:jc w:val="both"/>
        <w:textAlignment w:val="auto"/>
        <w:rPr>
          <w:rFonts w:hint="eastAsia" w:ascii="Times New Roman" w:hAnsi="Times New Roman" w:eastAsia="方正仿宋_GBK" w:cs="方正仿宋_GBK"/>
          <w:color w:val="auto"/>
          <w:kern w:val="44"/>
          <w:sz w:val="32"/>
          <w:szCs w:val="32"/>
          <w:highlight w:val="none"/>
          <w:u w:val="none"/>
          <w:lang w:val="en-US" w:eastAsia="zh-CN" w:bidi="ar"/>
          <w14:ligatures w14:val="standardContextual"/>
        </w:rPr>
      </w:pPr>
      <w:r>
        <w:rPr>
          <w:rFonts w:hint="eastAsia" w:ascii="Times New Roman" w:hAnsi="Times New Roman" w:eastAsia="方正仿宋_GBK" w:cs="方正仿宋_GBK"/>
          <w:color w:val="auto"/>
          <w:kern w:val="44"/>
          <w:sz w:val="32"/>
          <w:szCs w:val="32"/>
          <w:highlight w:val="none"/>
          <w:u w:val="none"/>
          <w:lang w:val="en-US" w:eastAsia="zh-CN" w:bidi="ar"/>
          <w14:ligatures w14:val="standardContextual"/>
        </w:rPr>
        <w:t>（九）向负责监督检查的民政部门隐瞒情况、提供虚假材料或者拒绝提供反映其活动情况真实材料的；</w:t>
      </w:r>
    </w:p>
    <w:p w14:paraId="2A4FCB94">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74" w:lineRule="exact"/>
        <w:ind w:left="0" w:leftChars="0" w:right="0" w:firstLine="640" w:firstLineChars="200"/>
        <w:jc w:val="both"/>
        <w:textAlignment w:val="auto"/>
        <w:rPr>
          <w:rFonts w:hint="eastAsia" w:ascii="Times New Roman" w:hAnsi="Times New Roman" w:eastAsia="方正仿宋_GBK" w:cs="方正仿宋_GBK"/>
          <w:color w:val="auto"/>
          <w:kern w:val="44"/>
          <w:sz w:val="32"/>
          <w:szCs w:val="32"/>
          <w:highlight w:val="none"/>
          <w:u w:val="none"/>
          <w:lang w:val="en-US" w:eastAsia="zh-CN" w:bidi="ar"/>
          <w14:ligatures w14:val="standardContextual"/>
        </w:rPr>
      </w:pPr>
      <w:r>
        <w:rPr>
          <w:rFonts w:hint="eastAsia" w:ascii="Times New Roman" w:hAnsi="Times New Roman" w:eastAsia="方正仿宋_GBK" w:cs="方正仿宋_GBK"/>
          <w:color w:val="auto"/>
          <w:kern w:val="44"/>
          <w:sz w:val="32"/>
          <w:szCs w:val="32"/>
          <w:highlight w:val="none"/>
          <w:u w:val="none"/>
          <w:lang w:val="en-US" w:eastAsia="zh-CN" w:bidi="ar"/>
          <w14:ligatures w14:val="standardContextual"/>
        </w:rPr>
        <w:t>（十）法律、法规规定的其他违法行为。</w:t>
      </w:r>
    </w:p>
    <w:p w14:paraId="479A4859">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74" w:lineRule="exact"/>
        <w:ind w:left="0" w:leftChars="0" w:right="0" w:firstLine="640" w:firstLineChars="200"/>
        <w:jc w:val="both"/>
        <w:textAlignment w:val="auto"/>
        <w:rPr>
          <w:rFonts w:hint="default" w:ascii="Times New Roman" w:hAnsi="Times New Roman" w:eastAsia="方正仿宋_GBK" w:cs="方正仿宋_GBK"/>
          <w:color w:val="auto"/>
          <w:kern w:val="44"/>
          <w:sz w:val="32"/>
          <w:szCs w:val="32"/>
          <w:highlight w:val="none"/>
          <w:u w:val="none"/>
          <w:lang w:val="en-US" w:eastAsia="zh-CN" w:bidi="ar"/>
          <w14:ligatures w14:val="standardContextual"/>
        </w:rPr>
      </w:pPr>
      <w:r>
        <w:rPr>
          <w:rFonts w:hint="eastAsia" w:ascii="Times New Roman" w:hAnsi="Times New Roman" w:eastAsia="方正仿宋_GBK" w:cs="方正仿宋_GBK"/>
          <w:color w:val="auto"/>
          <w:kern w:val="44"/>
          <w:sz w:val="32"/>
          <w:szCs w:val="32"/>
          <w:highlight w:val="none"/>
          <w:u w:val="none"/>
          <w:lang w:val="en-US" w:eastAsia="zh-CN" w:bidi="ar"/>
          <w14:ligatures w14:val="standardContextual"/>
        </w:rPr>
        <w:t>对有本条第一款第一项至第五项所列行为之一且未在限期内整改的养老机构，以及有第六项至第九项所列行为之一的养老机构，有关部门可以中止、取消有关扶持、优惠措施；情节严重的，追回已经减免的费用和发放的补助、补贴。养老机构经整改消除前款所列行为的，可以重新申请相关扶持、优惠措施。</w:t>
      </w:r>
    </w:p>
    <w:p w14:paraId="63C3ABAB">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74" w:lineRule="exact"/>
        <w:ind w:left="0" w:leftChars="0" w:right="0" w:firstLine="640" w:firstLineChars="200"/>
        <w:jc w:val="both"/>
        <w:textAlignment w:val="auto"/>
        <w:rPr>
          <w:rFonts w:hint="eastAsia" w:ascii="Times New Roman" w:hAnsi="Times New Roman" w:eastAsia="方正仿宋_GBK" w:cs="方正仿宋_GBK"/>
          <w:color w:val="auto"/>
          <w:kern w:val="44"/>
          <w:sz w:val="32"/>
          <w:szCs w:val="32"/>
          <w:highlight w:val="none"/>
          <w:u w:val="none"/>
          <w:lang w:val="en-US" w:eastAsia="zh-CN" w:bidi="ar"/>
          <w14:ligatures w14:val="standardContextual"/>
        </w:rPr>
      </w:pPr>
      <w:r>
        <w:rPr>
          <w:rFonts w:hint="eastAsia" w:ascii="Times New Roman" w:hAnsi="Times New Roman" w:eastAsia="方正黑体_GBK" w:cs="方正黑体_GBK"/>
          <w:color w:val="auto"/>
          <w:spacing w:val="0"/>
          <w:kern w:val="21"/>
          <w:sz w:val="32"/>
          <w:szCs w:val="32"/>
          <w:highlight w:val="none"/>
          <w:u w:val="none"/>
          <w:lang w:val="en-US" w:eastAsia="zh-CN" w:bidi="ar"/>
          <w14:ligatures w14:val="standardContextual"/>
        </w:rPr>
        <w:t>第二十七条（骗取补贴奖金及非法集资等行为法律责任）</w:t>
      </w:r>
      <w:r>
        <w:rPr>
          <w:rFonts w:hint="eastAsia" w:ascii="Times New Roman" w:hAnsi="Times New Roman" w:eastAsia="方正仿宋_GBK" w:cs="方正仿宋_GBK"/>
          <w:color w:val="auto"/>
          <w:kern w:val="44"/>
          <w:sz w:val="32"/>
          <w:szCs w:val="32"/>
          <w:highlight w:val="none"/>
          <w:u w:val="none"/>
          <w:lang w:val="en-US" w:eastAsia="zh-CN" w:bidi="ar"/>
          <w14:ligatures w14:val="standardContextual"/>
        </w:rPr>
        <w:t xml:space="preserve">养老机构骗取建设运营补贴、奖励奖金的，由公安、民政等会同财政部门予以追回，并处骗取资金一倍以上三倍以下罚款。构成违反治安管理行为的，由公安部门依法处罚；构成犯罪的，依法追究刑事责任。  </w:t>
      </w:r>
    </w:p>
    <w:p w14:paraId="4CD8DCC8">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74" w:lineRule="exact"/>
        <w:ind w:left="0" w:leftChars="0" w:right="0" w:firstLine="640" w:firstLineChars="200"/>
        <w:jc w:val="both"/>
        <w:textAlignment w:val="auto"/>
        <w:rPr>
          <w:rFonts w:hint="default" w:ascii="Times New Roman" w:hAnsi="Times New Roman" w:eastAsia="方正仿宋_GBK" w:cs="方正仿宋_GBK"/>
          <w:color w:val="auto"/>
          <w:kern w:val="44"/>
          <w:sz w:val="32"/>
          <w:szCs w:val="32"/>
          <w:highlight w:val="none"/>
          <w:u w:val="none"/>
          <w:lang w:val="en-US" w:eastAsia="zh-CN" w:bidi="ar"/>
          <w14:ligatures w14:val="standardContextual"/>
        </w:rPr>
      </w:pPr>
      <w:r>
        <w:rPr>
          <w:rFonts w:hint="eastAsia" w:ascii="Times New Roman" w:hAnsi="Times New Roman" w:eastAsia="方正仿宋_GBK" w:cs="方正仿宋_GBK"/>
          <w:color w:val="auto"/>
          <w:kern w:val="44"/>
          <w:sz w:val="32"/>
          <w:szCs w:val="32"/>
          <w:highlight w:val="none"/>
          <w:u w:val="none"/>
          <w:lang w:val="en-US" w:eastAsia="zh-CN" w:bidi="ar"/>
          <w14:ligatures w14:val="standardContextual"/>
        </w:rPr>
        <w:t>养老机构以养老服务名义涉嫌非法集资、诈骗、传销等违法行为的，由公安机关、处置非法集资牵头部门等依法查处。</w:t>
      </w:r>
    </w:p>
    <w:p w14:paraId="204D3E1D">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74" w:lineRule="exact"/>
        <w:ind w:left="0" w:leftChars="0" w:right="0" w:firstLine="640" w:firstLineChars="200"/>
        <w:jc w:val="both"/>
        <w:textAlignment w:val="auto"/>
        <w:rPr>
          <w:rFonts w:hint="eastAsia" w:ascii="Times New Roman" w:hAnsi="Times New Roman" w:eastAsia="方正黑体_GBK" w:cs="方正黑体_GBK"/>
          <w:color w:val="auto"/>
          <w:spacing w:val="0"/>
          <w:kern w:val="21"/>
          <w:sz w:val="32"/>
          <w:szCs w:val="32"/>
          <w:highlight w:val="none"/>
          <w:u w:val="none"/>
          <w:lang w:val="en-US" w:eastAsia="zh-CN" w:bidi="ar"/>
          <w14:ligatures w14:val="standardContextual"/>
        </w:rPr>
      </w:pPr>
      <w:r>
        <w:rPr>
          <w:rFonts w:hint="eastAsia" w:ascii="Times New Roman" w:hAnsi="Times New Roman" w:eastAsia="方正黑体_GBK" w:cs="方正黑体_GBK"/>
          <w:color w:val="auto"/>
          <w:spacing w:val="0"/>
          <w:kern w:val="21"/>
          <w:sz w:val="32"/>
          <w:szCs w:val="32"/>
          <w:highlight w:val="none"/>
          <w:u w:val="none"/>
          <w:lang w:val="en-US" w:eastAsia="zh-CN" w:bidi="ar"/>
          <w14:ligatures w14:val="standardContextual"/>
        </w:rPr>
        <w:t>第二十八条（转致条款）</w:t>
      </w:r>
      <w:r>
        <w:rPr>
          <w:rFonts w:hint="eastAsia" w:ascii="Times New Roman" w:hAnsi="Times New Roman" w:eastAsia="方正仿宋_GBK" w:cs="方正仿宋_GBK"/>
          <w:color w:val="auto"/>
          <w:kern w:val="44"/>
          <w:sz w:val="32"/>
          <w:szCs w:val="32"/>
          <w:highlight w:val="none"/>
          <w:u w:val="none"/>
          <w:lang w:val="en-US" w:eastAsia="zh-CN" w:bidi="ar"/>
          <w14:ligatures w14:val="standardContextual"/>
        </w:rPr>
        <w:t>违反本条例规定的行为，法律、法规等已有法律责任规定的，从其规定。</w:t>
      </w:r>
    </w:p>
    <w:p w14:paraId="29EF02DB">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574" w:lineRule="exact"/>
        <w:ind w:left="0" w:leftChars="0" w:right="0" w:rightChars="0" w:firstLine="640" w:firstLineChars="200"/>
        <w:jc w:val="both"/>
        <w:textAlignment w:val="auto"/>
        <w:rPr>
          <w:rFonts w:hint="default" w:ascii="Times New Roman" w:hAnsi="Times New Roman" w:eastAsia="方正仿宋_GBK" w:cs="方正仿宋_GBK"/>
          <w:color w:val="auto"/>
          <w:kern w:val="44"/>
          <w:sz w:val="32"/>
          <w:szCs w:val="32"/>
          <w:highlight w:val="none"/>
          <w:u w:val="none"/>
          <w:lang w:val="en-US" w:eastAsia="zh-CN" w:bidi="ar"/>
          <w14:ligatures w14:val="standardContextual"/>
        </w:rPr>
      </w:pPr>
      <w:r>
        <w:rPr>
          <w:rFonts w:hint="eastAsia" w:ascii="Times New Roman" w:hAnsi="Times New Roman" w:eastAsia="方正黑体_GBK" w:cs="方正黑体_GBK"/>
          <w:color w:val="auto"/>
          <w:spacing w:val="0"/>
          <w:kern w:val="21"/>
          <w:sz w:val="32"/>
          <w:szCs w:val="32"/>
          <w:highlight w:val="none"/>
          <w:u w:val="none"/>
          <w:lang w:val="en-US" w:eastAsia="zh-CN" w:bidi="ar"/>
          <w14:ligatures w14:val="standardContextual"/>
        </w:rPr>
        <w:t>第二十九条（施行日期）</w:t>
      </w:r>
      <w:r>
        <w:rPr>
          <w:rFonts w:hint="eastAsia" w:ascii="Times New Roman" w:hAnsi="Times New Roman" w:eastAsia="方正仿宋_GBK" w:cs="方正仿宋_GBK"/>
          <w:color w:val="auto"/>
          <w:kern w:val="44"/>
          <w:sz w:val="32"/>
          <w:szCs w:val="32"/>
          <w:highlight w:val="none"/>
          <w:u w:val="none"/>
          <w:lang w:val="en-US" w:eastAsia="zh-CN" w:bidi="ar"/>
          <w14:ligatures w14:val="standardContextual"/>
        </w:rPr>
        <w:t>本条例自  年  月  日起施行。</w:t>
      </w:r>
    </w:p>
    <w:p w14:paraId="4479B85C">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0" w:afterAutospacing="0" w:line="574" w:lineRule="exact"/>
        <w:ind w:left="0" w:leftChars="0" w:right="0" w:firstLine="640" w:firstLineChars="200"/>
        <w:jc w:val="both"/>
        <w:textAlignment w:val="auto"/>
        <w:rPr>
          <w:rFonts w:hint="default" w:ascii="Times New Roman" w:hAnsi="Times New Roman" w:eastAsia="方正仿宋_GBK" w:cs="方正仿宋_GBK"/>
          <w:color w:val="auto"/>
          <w:spacing w:val="0"/>
          <w:kern w:val="21"/>
          <w:sz w:val="32"/>
          <w:szCs w:val="32"/>
          <w:highlight w:val="none"/>
          <w:u w:val="none"/>
          <w:lang w:val="en-US" w:eastAsia="zh-CN" w:bidi="ar"/>
          <w14:ligatures w14:val="standardContextual"/>
        </w:rPr>
      </w:pPr>
    </w:p>
    <w:sectPr>
      <w:headerReference r:id="rId7" w:type="first"/>
      <w:footerReference r:id="rId10" w:type="first"/>
      <w:headerReference r:id="rId5" w:type="default"/>
      <w:footerReference r:id="rId8" w:type="default"/>
      <w:headerReference r:id="rId6" w:type="even"/>
      <w:footerReference r:id="rId9" w:type="even"/>
      <w:pgSz w:w="11906" w:h="16838"/>
      <w:pgMar w:top="1984" w:right="1446" w:bottom="1644" w:left="1446"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2010600010101010101"/>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仿宋_GBK">
    <w:panose1 w:val="03000509000000000000"/>
    <w:charset w:val="86"/>
    <w:family w:val="auto"/>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方正小标宋_GBK">
    <w:altName w:val="微软雅黑"/>
    <w:panose1 w:val="02000000000000000000"/>
    <w:charset w:val="86"/>
    <w:family w:val="auto"/>
    <w:pitch w:val="default"/>
    <w:sig w:usb0="00000000" w:usb1="00000000"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5B0BB">
    <w:pPr>
      <w:pStyle w:val="8"/>
      <w:ind w:left="0" w:leftChars="0" w:firstLine="0" w:firstLineChars="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EB6BAB">
                          <w:pPr>
                            <w:pStyle w:val="8"/>
                            <w:ind w:left="0" w:leftChars="0" w:firstLine="0" w:firstLineChars="0"/>
                            <w:rPr>
                              <w:rFonts w:hint="eastAsia" w:ascii="宋体" w:hAnsi="宋体" w:eastAsia="宋体" w:cs="宋体"/>
                              <w:sz w:val="28"/>
                              <w:szCs w:val="28"/>
                            </w:rPr>
                          </w:pPr>
                          <w:r>
                            <w:rPr>
                              <w:rFonts w:hint="eastAsia" w:cs="宋体"/>
                              <w:sz w:val="28"/>
                              <w:szCs w:val="28"/>
                            </w:rPr>
                            <w:fldChar w:fldCharType="begin"/>
                          </w:r>
                          <w:r>
                            <w:rPr>
                              <w:rFonts w:hint="eastAsia" w:cs="宋体"/>
                              <w:sz w:val="28"/>
                              <w:szCs w:val="28"/>
                            </w:rPr>
                            <w:instrText xml:space="preserve"> PAGE  \* MERGEFORMAT </w:instrText>
                          </w:r>
                          <w:r>
                            <w:rPr>
                              <w:rFonts w:hint="eastAsia" w:cs="宋体"/>
                              <w:sz w:val="28"/>
                              <w:szCs w:val="28"/>
                            </w:rPr>
                            <w:fldChar w:fldCharType="separate"/>
                          </w:r>
                          <w:r>
                            <w:rPr>
                              <w:rFonts w:hint="eastAsia" w:cs="宋体"/>
                              <w:sz w:val="28"/>
                              <w:szCs w:val="28"/>
                            </w:rPr>
                            <w:t>1</w:t>
                          </w:r>
                          <w:r>
                            <w:rPr>
                              <w:rFonts w:hint="eastAsia"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DEB6BAB">
                    <w:pPr>
                      <w:pStyle w:val="8"/>
                      <w:ind w:left="0" w:leftChars="0" w:firstLine="0" w:firstLineChars="0"/>
                      <w:rPr>
                        <w:rFonts w:hint="eastAsia" w:ascii="宋体" w:hAnsi="宋体" w:eastAsia="宋体" w:cs="宋体"/>
                        <w:sz w:val="28"/>
                        <w:szCs w:val="28"/>
                      </w:rPr>
                    </w:pPr>
                    <w:r>
                      <w:rPr>
                        <w:rFonts w:hint="eastAsia" w:cs="宋体"/>
                        <w:sz w:val="28"/>
                        <w:szCs w:val="28"/>
                      </w:rPr>
                      <w:fldChar w:fldCharType="begin"/>
                    </w:r>
                    <w:r>
                      <w:rPr>
                        <w:rFonts w:hint="eastAsia" w:cs="宋体"/>
                        <w:sz w:val="28"/>
                        <w:szCs w:val="28"/>
                      </w:rPr>
                      <w:instrText xml:space="preserve"> PAGE  \* MERGEFORMAT </w:instrText>
                    </w:r>
                    <w:r>
                      <w:rPr>
                        <w:rFonts w:hint="eastAsia" w:cs="宋体"/>
                        <w:sz w:val="28"/>
                        <w:szCs w:val="28"/>
                      </w:rPr>
                      <w:fldChar w:fldCharType="separate"/>
                    </w:r>
                    <w:r>
                      <w:rPr>
                        <w:rFonts w:hint="eastAsia" w:cs="宋体"/>
                        <w:sz w:val="28"/>
                        <w:szCs w:val="28"/>
                      </w:rPr>
                      <w:t>1</w:t>
                    </w:r>
                    <w:r>
                      <w:rPr>
                        <w:rFonts w:hint="eastAsia"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06FC8">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2B40C">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C89A9">
    <w:pPr>
      <w:pStyle w:val="9"/>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47F27">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02C32">
    <w:pPr>
      <w:pStyle w:val="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isplayBackgroundShape w:val="1"/>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I1ZmI5ZjFkYmVkMjIxMjE5ZDhhNWQyY2EwZTU1YTIifQ=="/>
    <w:docVar w:name="KSO_WPS_MARK_KEY" w:val="a89279bb-681b-4fd5-ba5e-d4c97825635d"/>
  </w:docVars>
  <w:rsids>
    <w:rsidRoot w:val="00645E80"/>
    <w:rsid w:val="00005D7E"/>
    <w:rsid w:val="00012F86"/>
    <w:rsid w:val="000137B8"/>
    <w:rsid w:val="000367EA"/>
    <w:rsid w:val="00047E6C"/>
    <w:rsid w:val="00075B5F"/>
    <w:rsid w:val="000A57C9"/>
    <w:rsid w:val="000B0CA9"/>
    <w:rsid w:val="000D03EC"/>
    <w:rsid w:val="000F2710"/>
    <w:rsid w:val="001063CC"/>
    <w:rsid w:val="00135631"/>
    <w:rsid w:val="00137908"/>
    <w:rsid w:val="00170DFF"/>
    <w:rsid w:val="0017573F"/>
    <w:rsid w:val="00175BD2"/>
    <w:rsid w:val="001B394A"/>
    <w:rsid w:val="001C622E"/>
    <w:rsid w:val="001C7B47"/>
    <w:rsid w:val="001D225E"/>
    <w:rsid w:val="002365CF"/>
    <w:rsid w:val="00237DF7"/>
    <w:rsid w:val="00262F7A"/>
    <w:rsid w:val="00271FF8"/>
    <w:rsid w:val="00274B4F"/>
    <w:rsid w:val="002A3171"/>
    <w:rsid w:val="002C73B9"/>
    <w:rsid w:val="0034020A"/>
    <w:rsid w:val="00340E37"/>
    <w:rsid w:val="003530AF"/>
    <w:rsid w:val="00394646"/>
    <w:rsid w:val="003B74EB"/>
    <w:rsid w:val="003C478A"/>
    <w:rsid w:val="00400B0F"/>
    <w:rsid w:val="00406DA2"/>
    <w:rsid w:val="00447549"/>
    <w:rsid w:val="0047727A"/>
    <w:rsid w:val="004A08E5"/>
    <w:rsid w:val="004F7546"/>
    <w:rsid w:val="0053655D"/>
    <w:rsid w:val="0055637C"/>
    <w:rsid w:val="00574E83"/>
    <w:rsid w:val="005806E0"/>
    <w:rsid w:val="005C3A37"/>
    <w:rsid w:val="00615536"/>
    <w:rsid w:val="00645E80"/>
    <w:rsid w:val="006B313A"/>
    <w:rsid w:val="007317CB"/>
    <w:rsid w:val="00816193"/>
    <w:rsid w:val="008202D4"/>
    <w:rsid w:val="008363F4"/>
    <w:rsid w:val="008746AD"/>
    <w:rsid w:val="00891DEA"/>
    <w:rsid w:val="009055DD"/>
    <w:rsid w:val="009112B2"/>
    <w:rsid w:val="00913392"/>
    <w:rsid w:val="00927C29"/>
    <w:rsid w:val="009402F4"/>
    <w:rsid w:val="009D43E3"/>
    <w:rsid w:val="009F4707"/>
    <w:rsid w:val="00A26519"/>
    <w:rsid w:val="00A35679"/>
    <w:rsid w:val="00A57F50"/>
    <w:rsid w:val="00A849BA"/>
    <w:rsid w:val="00AB2D1A"/>
    <w:rsid w:val="00AB3646"/>
    <w:rsid w:val="00AC2635"/>
    <w:rsid w:val="00AE1EC9"/>
    <w:rsid w:val="00B112CA"/>
    <w:rsid w:val="00B216D0"/>
    <w:rsid w:val="00B2249E"/>
    <w:rsid w:val="00B276F0"/>
    <w:rsid w:val="00B300E2"/>
    <w:rsid w:val="00B44FD0"/>
    <w:rsid w:val="00BE4ED8"/>
    <w:rsid w:val="00C73304"/>
    <w:rsid w:val="00C91D50"/>
    <w:rsid w:val="00C955EC"/>
    <w:rsid w:val="00D033CE"/>
    <w:rsid w:val="00D83BD3"/>
    <w:rsid w:val="00D91FC7"/>
    <w:rsid w:val="00DF3481"/>
    <w:rsid w:val="00E00B2C"/>
    <w:rsid w:val="00E3261D"/>
    <w:rsid w:val="00E37B7E"/>
    <w:rsid w:val="00EA6A5C"/>
    <w:rsid w:val="00F23FD9"/>
    <w:rsid w:val="00FB50BC"/>
    <w:rsid w:val="00FC4C2F"/>
    <w:rsid w:val="00FE6520"/>
    <w:rsid w:val="01B27607"/>
    <w:rsid w:val="027E29A5"/>
    <w:rsid w:val="02BD18AD"/>
    <w:rsid w:val="02EC685C"/>
    <w:rsid w:val="03033783"/>
    <w:rsid w:val="03AA7DC4"/>
    <w:rsid w:val="03DC2BC8"/>
    <w:rsid w:val="04804BE5"/>
    <w:rsid w:val="05284532"/>
    <w:rsid w:val="052C5581"/>
    <w:rsid w:val="056E28DA"/>
    <w:rsid w:val="06525D5D"/>
    <w:rsid w:val="06B82F3D"/>
    <w:rsid w:val="077A5458"/>
    <w:rsid w:val="08DF02FF"/>
    <w:rsid w:val="09F74832"/>
    <w:rsid w:val="0A36774D"/>
    <w:rsid w:val="0BEE60AD"/>
    <w:rsid w:val="0CA85B84"/>
    <w:rsid w:val="0D756147"/>
    <w:rsid w:val="0DB31E41"/>
    <w:rsid w:val="0E36190E"/>
    <w:rsid w:val="0EF55267"/>
    <w:rsid w:val="0F6E5718"/>
    <w:rsid w:val="0FE5C476"/>
    <w:rsid w:val="10CE3A39"/>
    <w:rsid w:val="10F44B0A"/>
    <w:rsid w:val="114D43C3"/>
    <w:rsid w:val="11553800"/>
    <w:rsid w:val="11910601"/>
    <w:rsid w:val="12122C60"/>
    <w:rsid w:val="12882655"/>
    <w:rsid w:val="129640D0"/>
    <w:rsid w:val="12AA4A93"/>
    <w:rsid w:val="13A03433"/>
    <w:rsid w:val="13C16461"/>
    <w:rsid w:val="13EE74BE"/>
    <w:rsid w:val="14593431"/>
    <w:rsid w:val="145C1E7B"/>
    <w:rsid w:val="14810CC0"/>
    <w:rsid w:val="15083008"/>
    <w:rsid w:val="156173A0"/>
    <w:rsid w:val="15924739"/>
    <w:rsid w:val="15A108B6"/>
    <w:rsid w:val="163A0CF0"/>
    <w:rsid w:val="173EF2C2"/>
    <w:rsid w:val="177C2756"/>
    <w:rsid w:val="17C07F45"/>
    <w:rsid w:val="1836251A"/>
    <w:rsid w:val="186E7D7C"/>
    <w:rsid w:val="18882B8D"/>
    <w:rsid w:val="18BFD779"/>
    <w:rsid w:val="1A4A57F5"/>
    <w:rsid w:val="1A8C0DEC"/>
    <w:rsid w:val="1B84522F"/>
    <w:rsid w:val="1D5F7ABA"/>
    <w:rsid w:val="1D9B47D1"/>
    <w:rsid w:val="1DCA08C1"/>
    <w:rsid w:val="1DF02020"/>
    <w:rsid w:val="1EFA7804"/>
    <w:rsid w:val="1FEB9E9B"/>
    <w:rsid w:val="1FEFD723"/>
    <w:rsid w:val="200D07E9"/>
    <w:rsid w:val="22D62EEB"/>
    <w:rsid w:val="24673FF8"/>
    <w:rsid w:val="25630A98"/>
    <w:rsid w:val="25ED6D9B"/>
    <w:rsid w:val="25F1C772"/>
    <w:rsid w:val="263F2869"/>
    <w:rsid w:val="268249AF"/>
    <w:rsid w:val="27023A3D"/>
    <w:rsid w:val="27484CC0"/>
    <w:rsid w:val="27773FE0"/>
    <w:rsid w:val="27FFCCBC"/>
    <w:rsid w:val="29BA1CB2"/>
    <w:rsid w:val="2AB33371"/>
    <w:rsid w:val="2AC8529E"/>
    <w:rsid w:val="2ACB5D43"/>
    <w:rsid w:val="2AE62171"/>
    <w:rsid w:val="2B535BBE"/>
    <w:rsid w:val="2B801021"/>
    <w:rsid w:val="2B9B2B99"/>
    <w:rsid w:val="2BA70B16"/>
    <w:rsid w:val="2BD35625"/>
    <w:rsid w:val="2BFDAADE"/>
    <w:rsid w:val="2C0637E2"/>
    <w:rsid w:val="2CA00873"/>
    <w:rsid w:val="2D0B4C18"/>
    <w:rsid w:val="2E087DFE"/>
    <w:rsid w:val="2E8F1C72"/>
    <w:rsid w:val="2EEF6A97"/>
    <w:rsid w:val="2FF55392"/>
    <w:rsid w:val="30014FEC"/>
    <w:rsid w:val="30940EAD"/>
    <w:rsid w:val="31EA4086"/>
    <w:rsid w:val="328F109D"/>
    <w:rsid w:val="32943205"/>
    <w:rsid w:val="33076B8F"/>
    <w:rsid w:val="33B224A0"/>
    <w:rsid w:val="33B6279E"/>
    <w:rsid w:val="33E77235"/>
    <w:rsid w:val="343C4DDA"/>
    <w:rsid w:val="34B561E0"/>
    <w:rsid w:val="35765C7F"/>
    <w:rsid w:val="35B4C930"/>
    <w:rsid w:val="37CB9FE7"/>
    <w:rsid w:val="37FC1BDF"/>
    <w:rsid w:val="3946116E"/>
    <w:rsid w:val="39DA600C"/>
    <w:rsid w:val="39FD4147"/>
    <w:rsid w:val="3A5C0EAC"/>
    <w:rsid w:val="3B7A4453"/>
    <w:rsid w:val="3BAC7A69"/>
    <w:rsid w:val="3BF77EED"/>
    <w:rsid w:val="3C060619"/>
    <w:rsid w:val="3C745CB9"/>
    <w:rsid w:val="3CFEEB86"/>
    <w:rsid w:val="3D612AB5"/>
    <w:rsid w:val="3D7347FE"/>
    <w:rsid w:val="3E8F705A"/>
    <w:rsid w:val="3EC54920"/>
    <w:rsid w:val="3ED32D14"/>
    <w:rsid w:val="3EFF7A98"/>
    <w:rsid w:val="3F2F218D"/>
    <w:rsid w:val="3F7014F3"/>
    <w:rsid w:val="3F7852B0"/>
    <w:rsid w:val="3FAD3BE2"/>
    <w:rsid w:val="4079224C"/>
    <w:rsid w:val="40E927FA"/>
    <w:rsid w:val="417F0B65"/>
    <w:rsid w:val="4283791D"/>
    <w:rsid w:val="44163D3A"/>
    <w:rsid w:val="44883ECC"/>
    <w:rsid w:val="44BD1117"/>
    <w:rsid w:val="45566977"/>
    <w:rsid w:val="45C213AB"/>
    <w:rsid w:val="4610054C"/>
    <w:rsid w:val="47BA640C"/>
    <w:rsid w:val="48B02CEE"/>
    <w:rsid w:val="497C6BA3"/>
    <w:rsid w:val="49EE1FFA"/>
    <w:rsid w:val="4A5C2802"/>
    <w:rsid w:val="4AAC62A2"/>
    <w:rsid w:val="4AD7081E"/>
    <w:rsid w:val="4B416AE8"/>
    <w:rsid w:val="4BDEC0CD"/>
    <w:rsid w:val="4BF1F833"/>
    <w:rsid w:val="4D6036A8"/>
    <w:rsid w:val="4D724C4A"/>
    <w:rsid w:val="4DAE1980"/>
    <w:rsid w:val="4DEC4CE8"/>
    <w:rsid w:val="4DFF12A8"/>
    <w:rsid w:val="4E1F159E"/>
    <w:rsid w:val="4E8B3A31"/>
    <w:rsid w:val="4EAB7215"/>
    <w:rsid w:val="4F0A3DD9"/>
    <w:rsid w:val="4F3716B1"/>
    <w:rsid w:val="509B17AC"/>
    <w:rsid w:val="50EF4B47"/>
    <w:rsid w:val="5140629F"/>
    <w:rsid w:val="51532B4A"/>
    <w:rsid w:val="52D72A09"/>
    <w:rsid w:val="52FE2E50"/>
    <w:rsid w:val="53285C2A"/>
    <w:rsid w:val="54672089"/>
    <w:rsid w:val="55A72A15"/>
    <w:rsid w:val="55B04A69"/>
    <w:rsid w:val="55C10549"/>
    <w:rsid w:val="55C87F9C"/>
    <w:rsid w:val="55F73104"/>
    <w:rsid w:val="5695FBA8"/>
    <w:rsid w:val="576F7DF6"/>
    <w:rsid w:val="57BEEAAD"/>
    <w:rsid w:val="57D7990A"/>
    <w:rsid w:val="58EC79E1"/>
    <w:rsid w:val="597F6FCA"/>
    <w:rsid w:val="59C77E38"/>
    <w:rsid w:val="59EE23AE"/>
    <w:rsid w:val="5A1666D4"/>
    <w:rsid w:val="5B465534"/>
    <w:rsid w:val="5B8A60B2"/>
    <w:rsid w:val="5BA435D4"/>
    <w:rsid w:val="5BB95D06"/>
    <w:rsid w:val="5CF90E52"/>
    <w:rsid w:val="5DCE7E16"/>
    <w:rsid w:val="5DEB54B4"/>
    <w:rsid w:val="5E1C09CB"/>
    <w:rsid w:val="5E893FC3"/>
    <w:rsid w:val="5ECB78B0"/>
    <w:rsid w:val="5F0C42B2"/>
    <w:rsid w:val="5F5E2813"/>
    <w:rsid w:val="5F5FAC86"/>
    <w:rsid w:val="5F922AF6"/>
    <w:rsid w:val="5F9C2E9A"/>
    <w:rsid w:val="5FB90203"/>
    <w:rsid w:val="5FDFC1B8"/>
    <w:rsid w:val="5FFD3462"/>
    <w:rsid w:val="603272F6"/>
    <w:rsid w:val="605518AE"/>
    <w:rsid w:val="612724FF"/>
    <w:rsid w:val="614530DA"/>
    <w:rsid w:val="619C7C5C"/>
    <w:rsid w:val="621506F6"/>
    <w:rsid w:val="62DE4C05"/>
    <w:rsid w:val="64664551"/>
    <w:rsid w:val="648C4B09"/>
    <w:rsid w:val="660A0657"/>
    <w:rsid w:val="665F585F"/>
    <w:rsid w:val="66FF06A9"/>
    <w:rsid w:val="671E34A2"/>
    <w:rsid w:val="67D74C3C"/>
    <w:rsid w:val="67FF666A"/>
    <w:rsid w:val="695C6EA8"/>
    <w:rsid w:val="69B14266"/>
    <w:rsid w:val="6A77C59A"/>
    <w:rsid w:val="6AE58181"/>
    <w:rsid w:val="6C3D203B"/>
    <w:rsid w:val="6C776289"/>
    <w:rsid w:val="6C7F6479"/>
    <w:rsid w:val="6D4A220C"/>
    <w:rsid w:val="6E4C2A0A"/>
    <w:rsid w:val="6E5B181E"/>
    <w:rsid w:val="6EB30BEA"/>
    <w:rsid w:val="6EBB4BCA"/>
    <w:rsid w:val="6EE32226"/>
    <w:rsid w:val="6F277605"/>
    <w:rsid w:val="6FDFF169"/>
    <w:rsid w:val="6FEF2AF2"/>
    <w:rsid w:val="6FEFD8FD"/>
    <w:rsid w:val="6FFF36BC"/>
    <w:rsid w:val="708772DB"/>
    <w:rsid w:val="7119293C"/>
    <w:rsid w:val="715D46EE"/>
    <w:rsid w:val="71FF7E20"/>
    <w:rsid w:val="723C770F"/>
    <w:rsid w:val="723FF4B8"/>
    <w:rsid w:val="7265245B"/>
    <w:rsid w:val="726739FE"/>
    <w:rsid w:val="729D5767"/>
    <w:rsid w:val="72C54D56"/>
    <w:rsid w:val="72D66F5A"/>
    <w:rsid w:val="72EFBF98"/>
    <w:rsid w:val="72F54895"/>
    <w:rsid w:val="72F83592"/>
    <w:rsid w:val="732B5C6F"/>
    <w:rsid w:val="73303587"/>
    <w:rsid w:val="73AD1C57"/>
    <w:rsid w:val="73E7A08F"/>
    <w:rsid w:val="7408106C"/>
    <w:rsid w:val="7467A993"/>
    <w:rsid w:val="74774CA1"/>
    <w:rsid w:val="74B9560C"/>
    <w:rsid w:val="74E06F27"/>
    <w:rsid w:val="74E87DA0"/>
    <w:rsid w:val="75FF4725"/>
    <w:rsid w:val="76AB6311"/>
    <w:rsid w:val="76C6222A"/>
    <w:rsid w:val="76E965F1"/>
    <w:rsid w:val="77771CAB"/>
    <w:rsid w:val="777D951F"/>
    <w:rsid w:val="777FF834"/>
    <w:rsid w:val="77BF1689"/>
    <w:rsid w:val="77CF2736"/>
    <w:rsid w:val="77D0DB81"/>
    <w:rsid w:val="77E37074"/>
    <w:rsid w:val="77E4483F"/>
    <w:rsid w:val="77EA20FA"/>
    <w:rsid w:val="77FA1701"/>
    <w:rsid w:val="77FB9B70"/>
    <w:rsid w:val="77FF2E3A"/>
    <w:rsid w:val="79EB6681"/>
    <w:rsid w:val="79F1E12B"/>
    <w:rsid w:val="79F80E3A"/>
    <w:rsid w:val="7ADB05B3"/>
    <w:rsid w:val="7AE6435E"/>
    <w:rsid w:val="7B542EFE"/>
    <w:rsid w:val="7B7B91D0"/>
    <w:rsid w:val="7BD72508"/>
    <w:rsid w:val="7BDFCE57"/>
    <w:rsid w:val="7BF798B8"/>
    <w:rsid w:val="7BF7A7F8"/>
    <w:rsid w:val="7BFB3884"/>
    <w:rsid w:val="7BFFC2C1"/>
    <w:rsid w:val="7CA50AFE"/>
    <w:rsid w:val="7CBE8756"/>
    <w:rsid w:val="7CFF4974"/>
    <w:rsid w:val="7D5945CC"/>
    <w:rsid w:val="7D7751CD"/>
    <w:rsid w:val="7D777CBA"/>
    <w:rsid w:val="7D8AC53C"/>
    <w:rsid w:val="7DAD1F82"/>
    <w:rsid w:val="7DBFF785"/>
    <w:rsid w:val="7DFD437B"/>
    <w:rsid w:val="7DFEB695"/>
    <w:rsid w:val="7E2E5CEA"/>
    <w:rsid w:val="7E5775F0"/>
    <w:rsid w:val="7E5FF17F"/>
    <w:rsid w:val="7E6821A4"/>
    <w:rsid w:val="7E78908C"/>
    <w:rsid w:val="7E9DCB51"/>
    <w:rsid w:val="7EB75C7D"/>
    <w:rsid w:val="7EFF6793"/>
    <w:rsid w:val="7F267B49"/>
    <w:rsid w:val="7F2F0CCC"/>
    <w:rsid w:val="7F3F41C9"/>
    <w:rsid w:val="7F5FC775"/>
    <w:rsid w:val="7F5FF0FA"/>
    <w:rsid w:val="7F6E4D8B"/>
    <w:rsid w:val="7F73B585"/>
    <w:rsid w:val="7F76D35D"/>
    <w:rsid w:val="7F7CB6D3"/>
    <w:rsid w:val="7F7D6F90"/>
    <w:rsid w:val="7F9DD4FE"/>
    <w:rsid w:val="7FAC463A"/>
    <w:rsid w:val="7FB7D542"/>
    <w:rsid w:val="7FBECFC3"/>
    <w:rsid w:val="7FC53E42"/>
    <w:rsid w:val="7FD3C7E5"/>
    <w:rsid w:val="7FDFAE90"/>
    <w:rsid w:val="7FE712AE"/>
    <w:rsid w:val="7FEF846C"/>
    <w:rsid w:val="7FFBCA25"/>
    <w:rsid w:val="7FFBDBD0"/>
    <w:rsid w:val="7FFF4FBA"/>
    <w:rsid w:val="7FFF5C50"/>
    <w:rsid w:val="87567678"/>
    <w:rsid w:val="8DD8863E"/>
    <w:rsid w:val="9DEF9529"/>
    <w:rsid w:val="9FF1065A"/>
    <w:rsid w:val="9FF8FAB3"/>
    <w:rsid w:val="A3C680DC"/>
    <w:rsid w:val="A4FB408A"/>
    <w:rsid w:val="A6B578E1"/>
    <w:rsid w:val="AB2A5936"/>
    <w:rsid w:val="AFDE9D79"/>
    <w:rsid w:val="B2CFD9F5"/>
    <w:rsid w:val="B3F9735B"/>
    <w:rsid w:val="B4FD9480"/>
    <w:rsid w:val="B55F2562"/>
    <w:rsid w:val="BBFBFF1B"/>
    <w:rsid w:val="BCDF1360"/>
    <w:rsid w:val="BDED847B"/>
    <w:rsid w:val="BDF72341"/>
    <w:rsid w:val="BEBF3936"/>
    <w:rsid w:val="BFBDC900"/>
    <w:rsid w:val="BFDEAAC8"/>
    <w:rsid w:val="BFFCDC8E"/>
    <w:rsid w:val="BFFFFD51"/>
    <w:rsid w:val="C3252718"/>
    <w:rsid w:val="CF655596"/>
    <w:rsid w:val="CFFE77E5"/>
    <w:rsid w:val="D3E7B2DA"/>
    <w:rsid w:val="D6F5B599"/>
    <w:rsid w:val="D76927AE"/>
    <w:rsid w:val="D97F165A"/>
    <w:rsid w:val="DAABF656"/>
    <w:rsid w:val="DBFD40EF"/>
    <w:rsid w:val="DDB33F4F"/>
    <w:rsid w:val="DDFFBED3"/>
    <w:rsid w:val="DEAB83E2"/>
    <w:rsid w:val="DF5B1F75"/>
    <w:rsid w:val="DF776725"/>
    <w:rsid w:val="DFEB47E8"/>
    <w:rsid w:val="DFEEDC61"/>
    <w:rsid w:val="DFEFB55A"/>
    <w:rsid w:val="E3758C4B"/>
    <w:rsid w:val="E3F70268"/>
    <w:rsid w:val="E77FBE7B"/>
    <w:rsid w:val="E8FF11BB"/>
    <w:rsid w:val="EA4094C8"/>
    <w:rsid w:val="EB7CB23A"/>
    <w:rsid w:val="EBA63768"/>
    <w:rsid w:val="ECEEF6A7"/>
    <w:rsid w:val="EDF7A527"/>
    <w:rsid w:val="EDFE7B32"/>
    <w:rsid w:val="EDFF759B"/>
    <w:rsid w:val="EED0EFE5"/>
    <w:rsid w:val="EFED4812"/>
    <w:rsid w:val="EFF83751"/>
    <w:rsid w:val="EFFF2EF7"/>
    <w:rsid w:val="F15FCA33"/>
    <w:rsid w:val="F1EF6143"/>
    <w:rsid w:val="F21FE234"/>
    <w:rsid w:val="F276197B"/>
    <w:rsid w:val="F395479B"/>
    <w:rsid w:val="F3D31679"/>
    <w:rsid w:val="F3FF2E64"/>
    <w:rsid w:val="F579D3C3"/>
    <w:rsid w:val="F5DE5518"/>
    <w:rsid w:val="F5DEA51B"/>
    <w:rsid w:val="F5EF1926"/>
    <w:rsid w:val="F68FB8E1"/>
    <w:rsid w:val="F6BF3BD3"/>
    <w:rsid w:val="F7BF9A3A"/>
    <w:rsid w:val="F7E9E847"/>
    <w:rsid w:val="F7F65651"/>
    <w:rsid w:val="F7F74864"/>
    <w:rsid w:val="F7FFD9E5"/>
    <w:rsid w:val="F7FFFD85"/>
    <w:rsid w:val="FACD8220"/>
    <w:rsid w:val="FB6F080A"/>
    <w:rsid w:val="FB98B1EB"/>
    <w:rsid w:val="FBBBD0F8"/>
    <w:rsid w:val="FBF79FEC"/>
    <w:rsid w:val="FBFA7690"/>
    <w:rsid w:val="FBFF750C"/>
    <w:rsid w:val="FC7FC0FD"/>
    <w:rsid w:val="FD1FC0D9"/>
    <w:rsid w:val="FD276785"/>
    <w:rsid w:val="FD9FB68C"/>
    <w:rsid w:val="FDFAC3EC"/>
    <w:rsid w:val="FDFEF890"/>
    <w:rsid w:val="FEFD4006"/>
    <w:rsid w:val="FEFD5916"/>
    <w:rsid w:val="FF7B7700"/>
    <w:rsid w:val="FF7ED874"/>
    <w:rsid w:val="FF9EE23E"/>
    <w:rsid w:val="FFA83E05"/>
    <w:rsid w:val="FFAB1CE7"/>
    <w:rsid w:val="FFBB89EA"/>
    <w:rsid w:val="FFBF2AF1"/>
    <w:rsid w:val="FFBFEB82"/>
    <w:rsid w:val="FFD7D57A"/>
    <w:rsid w:val="FFDBAC59"/>
    <w:rsid w:val="FFE62EE8"/>
    <w:rsid w:val="FFE75212"/>
    <w:rsid w:val="FFEE67F1"/>
    <w:rsid w:val="FFEEE919"/>
    <w:rsid w:val="FFF5E183"/>
    <w:rsid w:val="FFF7ABA9"/>
    <w:rsid w:val="FFFBE100"/>
    <w:rsid w:val="FFFBF80E"/>
    <w:rsid w:val="FFFC119D"/>
    <w:rsid w:val="FFFF0CD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宋体" w:hAnsi="宋体" w:eastAsia="宋体" w:cstheme="minorBidi"/>
      <w:kern w:val="2"/>
      <w:sz w:val="24"/>
      <w:szCs w:val="22"/>
      <w:lang w:val="en-US" w:eastAsia="zh-CN" w:bidi="ar-SA"/>
      <w14:ligatures w14:val="standardContextual"/>
    </w:rPr>
  </w:style>
  <w:style w:type="paragraph" w:styleId="2">
    <w:name w:val="heading 1"/>
    <w:basedOn w:val="1"/>
    <w:next w:val="1"/>
    <w:link w:val="19"/>
    <w:qFormat/>
    <w:uiPriority w:val="9"/>
    <w:pPr>
      <w:overflowPunct w:val="0"/>
      <w:spacing w:line="594" w:lineRule="exact"/>
      <w:ind w:firstLine="640"/>
      <w:outlineLvl w:val="0"/>
    </w:pPr>
    <w:rPr>
      <w:rFonts w:ascii="方正黑体_GBK" w:hAnsi="方正黑体_GBK" w:eastAsia="方正黑体_GBK" w:cs="方正黑体_GBK"/>
      <w:kern w:val="21"/>
      <w:sz w:val="32"/>
      <w:szCs w:val="32"/>
    </w:rPr>
  </w:style>
  <w:style w:type="paragraph" w:styleId="3">
    <w:name w:val="heading 2"/>
    <w:basedOn w:val="1"/>
    <w:next w:val="1"/>
    <w:link w:val="24"/>
    <w:unhideWhenUsed/>
    <w:qFormat/>
    <w:uiPriority w:val="9"/>
    <w:pPr>
      <w:keepNext/>
      <w:keepLines/>
      <w:outlineLvl w:val="1"/>
    </w:pPr>
    <w:rPr>
      <w:rFonts w:asciiTheme="majorHAnsi" w:hAnsiTheme="majorHAnsi" w:cstheme="majorBidi"/>
      <w:b/>
      <w:bCs/>
      <w:szCs w:val="32"/>
    </w:rPr>
  </w:style>
  <w:style w:type="paragraph" w:styleId="4">
    <w:name w:val="heading 3"/>
    <w:basedOn w:val="1"/>
    <w:next w:val="1"/>
    <w:link w:val="20"/>
    <w:semiHidden/>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widowControl w:val="0"/>
      <w:ind w:firstLine="567"/>
      <w:jc w:val="both"/>
    </w:pPr>
    <w:rPr>
      <w:rFonts w:ascii="Times New Roman" w:hAnsi="Times New Roman" w:eastAsia="仿宋_GB2312" w:cs="Times New Roman"/>
      <w:kern w:val="2"/>
      <w:sz w:val="32"/>
      <w:szCs w:val="24"/>
      <w:lang w:val="en-US" w:eastAsia="zh-CN" w:bidi="ar-SA"/>
    </w:rPr>
  </w:style>
  <w:style w:type="paragraph" w:styleId="6">
    <w:name w:val="annotation text"/>
    <w:basedOn w:val="1"/>
    <w:semiHidden/>
    <w:unhideWhenUsed/>
    <w:qFormat/>
    <w:uiPriority w:val="99"/>
    <w:pPr>
      <w:jc w:val="left"/>
    </w:pPr>
  </w:style>
  <w:style w:type="paragraph" w:styleId="7">
    <w:name w:val="Body Text"/>
    <w:basedOn w:val="1"/>
    <w:qFormat/>
    <w:uiPriority w:val="0"/>
  </w:style>
  <w:style w:type="paragraph" w:styleId="8">
    <w:name w:val="footer"/>
    <w:basedOn w:val="1"/>
    <w:link w:val="22"/>
    <w:unhideWhenUsed/>
    <w:qFormat/>
    <w:uiPriority w:val="99"/>
    <w:pPr>
      <w:tabs>
        <w:tab w:val="center" w:pos="4153"/>
        <w:tab w:val="right" w:pos="8306"/>
      </w:tabs>
      <w:snapToGrid w:val="0"/>
      <w:jc w:val="left"/>
    </w:pPr>
    <w:rPr>
      <w:sz w:val="18"/>
      <w:szCs w:val="18"/>
    </w:rPr>
  </w:style>
  <w:style w:type="paragraph" w:styleId="9">
    <w:name w:val="header"/>
    <w:basedOn w:val="1"/>
    <w:link w:val="21"/>
    <w:unhideWhenUsed/>
    <w:qFormat/>
    <w:uiPriority w:val="99"/>
    <w:pPr>
      <w:tabs>
        <w:tab w:val="center" w:pos="4153"/>
        <w:tab w:val="right" w:pos="8306"/>
      </w:tabs>
      <w:snapToGrid w:val="0"/>
      <w:jc w:val="center"/>
    </w:pPr>
    <w:rPr>
      <w:sz w:val="18"/>
      <w:szCs w:val="18"/>
    </w:rPr>
  </w:style>
  <w:style w:type="paragraph" w:styleId="10">
    <w:name w:val="Normal (Web)"/>
    <w:basedOn w:val="1"/>
    <w:qFormat/>
    <w:uiPriority w:val="0"/>
    <w:pPr>
      <w:spacing w:before="100" w:beforeAutospacing="1" w:after="100" w:afterAutospacing="1"/>
      <w:jc w:val="left"/>
    </w:pPr>
    <w:rPr>
      <w:rFonts w:cs="Times New Roman"/>
      <w:kern w:val="0"/>
    </w:rPr>
  </w:style>
  <w:style w:type="paragraph" w:styleId="11">
    <w:name w:val="Body Text First Indent"/>
    <w:basedOn w:val="7"/>
    <w:qFormat/>
    <w:uiPriority w:val="0"/>
    <w:pPr>
      <w:spacing w:after="160"/>
      <w:ind w:firstLine="420" w:firstLineChars="100"/>
    </w:pPr>
  </w:style>
  <w:style w:type="table" w:styleId="13">
    <w:name w:val="Table Grid"/>
    <w:basedOn w:val="12"/>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b/>
    </w:rPr>
  </w:style>
  <w:style w:type="paragraph" w:customStyle="1" w:styleId="16">
    <w:name w:val="MessageHeader"/>
    <w:next w:val="17"/>
    <w:qFormat/>
    <w:uiPriority w:val="0"/>
    <w:pPr>
      <w:widowControl w:val="0"/>
      <w:pBdr>
        <w:top w:val="single" w:color="000000" w:sz="6" w:space="1"/>
        <w:left w:val="single" w:color="000000" w:sz="6" w:space="1"/>
        <w:bottom w:val="single" w:color="000000" w:sz="6" w:space="1"/>
        <w:right w:val="single" w:color="000000" w:sz="6" w:space="1"/>
      </w:pBdr>
      <w:ind w:left="1080" w:leftChars="500" w:hanging="1080" w:hangingChars="500"/>
      <w:jc w:val="both"/>
    </w:pPr>
    <w:rPr>
      <w:rFonts w:ascii="Cambria" w:hAnsi="Cambria" w:eastAsia="方正仿宋_GBK" w:cs="Times New Roman"/>
      <w:kern w:val="2"/>
      <w:sz w:val="24"/>
      <w:szCs w:val="32"/>
      <w:lang w:val="en-US" w:eastAsia="zh-CN" w:bidi="ar-SA"/>
    </w:rPr>
  </w:style>
  <w:style w:type="paragraph" w:customStyle="1" w:styleId="17">
    <w:name w:val="BodyText"/>
    <w:next w:val="18"/>
    <w:qFormat/>
    <w:uiPriority w:val="0"/>
    <w:pPr>
      <w:widowControl w:val="0"/>
      <w:spacing w:after="120"/>
      <w:jc w:val="both"/>
      <w:textAlignment w:val="baseline"/>
    </w:pPr>
    <w:rPr>
      <w:rFonts w:ascii="Calibri" w:hAnsi="Calibri" w:eastAsia="宋体" w:cs="Times New Roman"/>
      <w:kern w:val="2"/>
      <w:sz w:val="32"/>
      <w:szCs w:val="24"/>
      <w:lang w:val="en-US" w:eastAsia="zh-CN" w:bidi="ar-SA"/>
    </w:rPr>
  </w:style>
  <w:style w:type="paragraph" w:customStyle="1" w:styleId="18">
    <w:name w:val="UserStyle_4"/>
    <w:qFormat/>
    <w:uiPriority w:val="0"/>
    <w:pPr>
      <w:textAlignment w:val="baseline"/>
    </w:pPr>
    <w:rPr>
      <w:rFonts w:ascii="Helvetica" w:hAnsi="Helvetica" w:eastAsia="宋体" w:cs="Times New Roman"/>
      <w:color w:val="000000"/>
      <w:sz w:val="22"/>
      <w:szCs w:val="22"/>
      <w:lang w:val="en-US" w:eastAsia="zh-CN" w:bidi="ar-SA"/>
    </w:rPr>
  </w:style>
  <w:style w:type="character" w:customStyle="1" w:styleId="19">
    <w:name w:val="标题 1 字符"/>
    <w:basedOn w:val="14"/>
    <w:link w:val="2"/>
    <w:qFormat/>
    <w:uiPriority w:val="9"/>
    <w:rPr>
      <w:rFonts w:ascii="方正黑体_GBK" w:hAnsi="方正黑体_GBK" w:eastAsia="方正黑体_GBK" w:cs="方正黑体_GBK"/>
      <w:kern w:val="21"/>
      <w:sz w:val="32"/>
      <w:szCs w:val="32"/>
      <w14:ligatures w14:val="standardContextual"/>
    </w:rPr>
  </w:style>
  <w:style w:type="character" w:customStyle="1" w:styleId="20">
    <w:name w:val="标题 3 字符"/>
    <w:basedOn w:val="14"/>
    <w:link w:val="4"/>
    <w:qFormat/>
    <w:uiPriority w:val="0"/>
    <w:rPr>
      <w:b/>
      <w:bCs/>
      <w:sz w:val="32"/>
      <w:szCs w:val="32"/>
    </w:rPr>
  </w:style>
  <w:style w:type="character" w:customStyle="1" w:styleId="21">
    <w:name w:val="页眉 字符"/>
    <w:basedOn w:val="14"/>
    <w:link w:val="9"/>
    <w:qFormat/>
    <w:uiPriority w:val="99"/>
    <w:rPr>
      <w:sz w:val="18"/>
      <w:szCs w:val="18"/>
    </w:rPr>
  </w:style>
  <w:style w:type="character" w:customStyle="1" w:styleId="22">
    <w:name w:val="页脚 字符"/>
    <w:basedOn w:val="14"/>
    <w:link w:val="8"/>
    <w:qFormat/>
    <w:uiPriority w:val="99"/>
    <w:rPr>
      <w:sz w:val="18"/>
      <w:szCs w:val="18"/>
    </w:rPr>
  </w:style>
  <w:style w:type="paragraph" w:styleId="23">
    <w:name w:val="List Paragraph"/>
    <w:basedOn w:val="1"/>
    <w:qFormat/>
    <w:uiPriority w:val="34"/>
    <w:pPr>
      <w:ind w:firstLine="420"/>
    </w:pPr>
  </w:style>
  <w:style w:type="character" w:customStyle="1" w:styleId="24">
    <w:name w:val="标题 2 字符"/>
    <w:basedOn w:val="14"/>
    <w:link w:val="3"/>
    <w:qFormat/>
    <w:uiPriority w:val="0"/>
    <w:rPr>
      <w:rFonts w:eastAsia="宋体" w:asciiTheme="majorHAnsi" w:hAnsiTheme="majorHAnsi" w:cstheme="majorBidi"/>
      <w:b/>
      <w:bCs/>
      <w:sz w:val="24"/>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53ED5C-E524-4BC2-B22C-2FD6699F1C90}">
  <ds:schemaRefs/>
</ds:datastoreItem>
</file>

<file path=docProps/app.xml><?xml version="1.0" encoding="utf-8"?>
<Properties xmlns="http://schemas.openxmlformats.org/officeDocument/2006/extended-properties" xmlns:vt="http://schemas.openxmlformats.org/officeDocument/2006/docPropsVTypes">
  <Pages>13</Pages>
  <Words>6772</Words>
  <Characters>6777</Characters>
  <Lines>1</Lines>
  <Paragraphs>1</Paragraphs>
  <TotalTime>7</TotalTime>
  <ScaleCrop>false</ScaleCrop>
  <LinksUpToDate>false</LinksUpToDate>
  <CharactersWithSpaces>6788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2024-04-27T01:33:00Z</dcterms:created>
  <dc:creator>雨帆 龙</dc:creator>
  <cp:lastModifiedBy>jingzuo</cp:lastModifiedBy>
  <cp:lastPrinted>2025-08-13T01:35:00Z</cp:lastPrinted>
  <dcterms:modified xsi:type="dcterms:W3CDTF">2025-10-13T12:16:55Z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FF7909F20E7C4820B842598C5993DE00_13</vt:lpwstr>
  </property>
  <property fmtid="{D5CDD505-2E9C-101B-9397-08002B2CF9AE}" pid="4" name="woTemplateTypoMode" linkTarget="0">
    <vt:lpwstr/>
  </property>
  <property fmtid="{D5CDD505-2E9C-101B-9397-08002B2CF9AE}" pid="5" name="woTemplate" linkTarget="0">
    <vt:i4>0</vt:i4>
  </property>
  <property fmtid="{D5CDD505-2E9C-101B-9397-08002B2CF9AE}" pid="6" name="woTemplateFileNameVisible" linkTarget="0">
    <vt:bool>false</vt:bool>
  </property>
  <property fmtid="{D5CDD505-2E9C-101B-9397-08002B2CF9AE}" pid="7" name="KSOTemplateDocerSaveRecord">
    <vt:lpwstr>eyJoZGlkIjoiMzgzOWZhMTJmZWMwZDc3ZmY1MWJkOWMzOTM4Y2E5NzgiLCJ1c2VySWQiOiI0NzU5NjQzNzMifQ==</vt:lpwstr>
  </property>
</Properties>
</file>