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宋体" w:eastAsia="方正小标宋简体"/>
          <w:color w:val="000000"/>
          <w:sz w:val="72"/>
          <w:szCs w:val="72"/>
        </w:rPr>
      </w:pPr>
      <w:bookmarkStart w:id="0" w:name="_Toc15306267"/>
    </w:p>
    <w:p>
      <w:pPr>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adjustRightInd w:val="0"/>
        <w:snapToGrid w:val="0"/>
        <w:jc w:val="center"/>
        <w:outlineLvl w:val="0"/>
        <w:rPr>
          <w:rFonts w:ascii="方正小标宋简体" w:hAnsi="宋体" w:eastAsia="方正小标宋简体"/>
          <w:color w:val="000000"/>
          <w:sz w:val="72"/>
          <w:szCs w:val="72"/>
        </w:rPr>
      </w:pPr>
      <w:bookmarkStart w:id="1" w:name="_Toc15378441"/>
      <w:bookmarkStart w:id="2" w:name="_Toc15377193"/>
      <w:bookmarkStart w:id="3" w:name="_Toc15377425"/>
      <w:bookmarkStart w:id="4" w:name="_Toc15396597"/>
      <w:bookmarkStart w:id="5" w:name="_Toc15396475"/>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jc w:val="center"/>
        <w:outlineLvl w:val="0"/>
        <w:rPr>
          <w:rFonts w:ascii="方正小标宋简体" w:hAnsi="宋体" w:eastAsia="方正小标宋简体"/>
          <w:color w:val="000000"/>
          <w:sz w:val="72"/>
          <w:szCs w:val="72"/>
        </w:rPr>
      </w:pPr>
      <w:bookmarkStart w:id="6" w:name="_Toc15377426"/>
      <w:bookmarkStart w:id="7" w:name="_Toc15377194"/>
      <w:bookmarkStart w:id="8" w:name="_Toc15378442"/>
      <w:bookmarkStart w:id="9" w:name="_Toc15396476"/>
      <w:bookmarkStart w:id="10" w:name="_Toc15396598"/>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rPr>
        <w:t>司法局部门决算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9</w:t>
      </w:r>
      <w:r>
        <w:rPr>
          <w:rFonts w:hint="eastAsia"/>
        </w:rPr>
        <w:t>月</w:t>
      </w:r>
      <w:r>
        <w:t>17</w:t>
      </w:r>
      <w:r>
        <w:rPr>
          <w:rFonts w:hint="eastAsia"/>
        </w:rPr>
        <w:t>日</w:t>
      </w:r>
    </w:p>
    <w:p/>
    <w:p>
      <w:pPr>
        <w:pStyle w:val="10"/>
      </w:pPr>
      <w:r>
        <w:fldChar w:fldCharType="begin"/>
      </w:r>
      <w:r>
        <w:instrText xml:space="preserve"> HYPERLINK \l "_Toc15396599" </w:instrText>
      </w:r>
      <w:r>
        <w:fldChar w:fldCharType="separate"/>
      </w:r>
      <w:r>
        <w:rPr>
          <w:rStyle w:val="18"/>
          <w:rFonts w:hint="eastAsia"/>
        </w:rPr>
        <w:t>第一部分部门概况</w:t>
      </w:r>
      <w:r>
        <w:tab/>
      </w:r>
      <w:r>
        <w:t>4</w:t>
      </w:r>
      <w:r>
        <w:fldChar w:fldCharType="end"/>
      </w:r>
    </w:p>
    <w:p>
      <w:pPr>
        <w:pStyle w:val="11"/>
        <w:ind w:left="412"/>
      </w:pPr>
      <w:r>
        <w:fldChar w:fldCharType="begin"/>
      </w:r>
      <w:r>
        <w:instrText xml:space="preserve"> HYPERLINK \l "_Toc15396600" </w:instrText>
      </w:r>
      <w:r>
        <w:fldChar w:fldCharType="separate"/>
      </w:r>
      <w:r>
        <w:rPr>
          <w:rStyle w:val="18"/>
          <w:rFonts w:hint="eastAsia"/>
        </w:rPr>
        <w:t>一、基本职能及主要工作</w:t>
      </w:r>
      <w:r>
        <w:tab/>
      </w:r>
      <w:r>
        <w:t>4</w:t>
      </w:r>
      <w:r>
        <w:fldChar w:fldCharType="end"/>
      </w:r>
    </w:p>
    <w:p>
      <w:pPr>
        <w:pStyle w:val="11"/>
        <w:ind w:left="412"/>
      </w:pPr>
      <w:r>
        <w:fldChar w:fldCharType="begin"/>
      </w:r>
      <w:r>
        <w:instrText xml:space="preserve"> HYPERLINK \l "_Toc15396601" </w:instrText>
      </w:r>
      <w:r>
        <w:fldChar w:fldCharType="separate"/>
      </w:r>
      <w:r>
        <w:rPr>
          <w:rStyle w:val="18"/>
          <w:rFonts w:hint="eastAsia"/>
        </w:rPr>
        <w:t>二、机构设置</w:t>
      </w:r>
      <w:r>
        <w:tab/>
      </w:r>
      <w:r>
        <w:fldChar w:fldCharType="begin"/>
      </w:r>
      <w:r>
        <w:instrText xml:space="preserve"> PAGEREF _Toc15396601 \h </w:instrText>
      </w:r>
      <w:r>
        <w:fldChar w:fldCharType="separate"/>
      </w:r>
      <w:r>
        <w:t>4</w:t>
      </w:r>
      <w:r>
        <w:fldChar w:fldCharType="end"/>
      </w:r>
      <w:r>
        <w:fldChar w:fldCharType="end"/>
      </w:r>
    </w:p>
    <w:p>
      <w:pPr>
        <w:pStyle w:val="10"/>
      </w:pPr>
      <w:r>
        <w:fldChar w:fldCharType="begin"/>
      </w:r>
      <w:r>
        <w:instrText xml:space="preserve"> HYPERLINK \l "_Toc15396602" </w:instrText>
      </w:r>
      <w:r>
        <w:fldChar w:fldCharType="separate"/>
      </w:r>
      <w:r>
        <w:rPr>
          <w:rStyle w:val="18"/>
          <w:rFonts w:hint="eastAsia"/>
        </w:rPr>
        <w:t>第二部分</w:t>
      </w:r>
      <w:r>
        <w:rPr>
          <w:rStyle w:val="18"/>
        </w:rPr>
        <w:t xml:space="preserve"> 2018</w:t>
      </w:r>
      <w:r>
        <w:rPr>
          <w:rStyle w:val="18"/>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ind w:left="412"/>
      </w:pPr>
      <w:r>
        <w:fldChar w:fldCharType="begin"/>
      </w:r>
      <w:r>
        <w:instrText xml:space="preserve"> HYPERLINK \l "_Toc15396603" </w:instrText>
      </w:r>
      <w:r>
        <w:fldChar w:fldCharType="separate"/>
      </w:r>
      <w:r>
        <w:rPr>
          <w:rStyle w:val="18"/>
          <w:rFonts w:hint="eastAsia"/>
          <w:bCs/>
        </w:rPr>
        <w:t>一、</w:t>
      </w:r>
      <w:r>
        <w:rPr>
          <w:rStyle w:val="18"/>
          <w:rFonts w:hint="eastAsia"/>
        </w:rPr>
        <w:t>收</w:t>
      </w:r>
      <w:r>
        <w:rPr>
          <w:rStyle w:val="18"/>
          <w:rFonts w:hint="eastAsia"/>
          <w:bCs/>
        </w:rPr>
        <w:t>入支出决算总体情况说明</w:t>
      </w:r>
      <w:r>
        <w:tab/>
      </w:r>
      <w:r>
        <w:fldChar w:fldCharType="begin"/>
      </w:r>
      <w:r>
        <w:instrText xml:space="preserve"> PAGEREF _Toc15396603 \h </w:instrText>
      </w:r>
      <w:r>
        <w:fldChar w:fldCharType="separate"/>
      </w:r>
      <w:r>
        <w:t>5</w:t>
      </w:r>
      <w:r>
        <w:fldChar w:fldCharType="end"/>
      </w:r>
      <w:r>
        <w:fldChar w:fldCharType="end"/>
      </w:r>
    </w:p>
    <w:p>
      <w:pPr>
        <w:pStyle w:val="11"/>
        <w:ind w:left="412"/>
      </w:pPr>
      <w:r>
        <w:fldChar w:fldCharType="begin"/>
      </w:r>
      <w:r>
        <w:instrText xml:space="preserve"> HYPERLINK \l "_Toc15396604" </w:instrText>
      </w:r>
      <w:r>
        <w:fldChar w:fldCharType="separate"/>
      </w:r>
      <w:r>
        <w:rPr>
          <w:rStyle w:val="18"/>
          <w:rFonts w:hint="eastAsia"/>
          <w:bCs/>
        </w:rPr>
        <w:t>二、</w:t>
      </w:r>
      <w:r>
        <w:rPr>
          <w:rStyle w:val="18"/>
          <w:rFonts w:hint="eastAsia"/>
        </w:rPr>
        <w:t>收</w:t>
      </w:r>
      <w:r>
        <w:rPr>
          <w:rStyle w:val="18"/>
          <w:rFonts w:hint="eastAsia"/>
          <w:bCs/>
        </w:rPr>
        <w:t>入决算情况说明</w:t>
      </w:r>
      <w:r>
        <w:tab/>
      </w:r>
      <w:r>
        <w:fldChar w:fldCharType="begin"/>
      </w:r>
      <w:r>
        <w:instrText xml:space="preserve"> PAGEREF _Toc15396604 \h </w:instrText>
      </w:r>
      <w:r>
        <w:fldChar w:fldCharType="separate"/>
      </w:r>
      <w:r>
        <w:t>5</w:t>
      </w:r>
      <w:r>
        <w:fldChar w:fldCharType="end"/>
      </w:r>
      <w:r>
        <w:fldChar w:fldCharType="end"/>
      </w:r>
    </w:p>
    <w:p>
      <w:pPr>
        <w:pStyle w:val="11"/>
        <w:ind w:left="412"/>
      </w:pPr>
      <w:r>
        <w:fldChar w:fldCharType="begin"/>
      </w:r>
      <w:r>
        <w:instrText xml:space="preserve"> HYPERLINK \l "_Toc15396605" </w:instrText>
      </w:r>
      <w:r>
        <w:fldChar w:fldCharType="separate"/>
      </w:r>
      <w:r>
        <w:rPr>
          <w:rStyle w:val="18"/>
          <w:rFonts w:hint="eastAsia"/>
          <w:bCs/>
        </w:rPr>
        <w:t>三、</w:t>
      </w:r>
      <w:r>
        <w:rPr>
          <w:rStyle w:val="18"/>
          <w:rFonts w:hint="eastAsia"/>
        </w:rPr>
        <w:t>支</w:t>
      </w:r>
      <w:r>
        <w:rPr>
          <w:rStyle w:val="18"/>
          <w:rFonts w:hint="eastAsia"/>
          <w:bCs/>
        </w:rPr>
        <w:t>出决算情况说明</w:t>
      </w:r>
      <w:r>
        <w:tab/>
      </w:r>
      <w:r>
        <w:fldChar w:fldCharType="begin"/>
      </w:r>
      <w:r>
        <w:instrText xml:space="preserve"> PAGEREF _Toc15396605 \h </w:instrText>
      </w:r>
      <w:r>
        <w:fldChar w:fldCharType="separate"/>
      </w:r>
      <w:r>
        <w:t>5</w:t>
      </w:r>
      <w:r>
        <w:fldChar w:fldCharType="end"/>
      </w:r>
      <w:r>
        <w:fldChar w:fldCharType="end"/>
      </w:r>
    </w:p>
    <w:p>
      <w:pPr>
        <w:pStyle w:val="11"/>
        <w:ind w:left="412"/>
      </w:pPr>
      <w:r>
        <w:fldChar w:fldCharType="begin"/>
      </w:r>
      <w:r>
        <w:instrText xml:space="preserve"> HYPERLINK \l "_Toc15396606" </w:instrText>
      </w:r>
      <w:r>
        <w:fldChar w:fldCharType="separate"/>
      </w:r>
      <w:r>
        <w:rPr>
          <w:rStyle w:val="18"/>
          <w:rFonts w:hint="eastAsia"/>
        </w:rPr>
        <w:t>四、财</w:t>
      </w:r>
      <w:r>
        <w:rPr>
          <w:rStyle w:val="18"/>
          <w:rFonts w:hint="eastAsia"/>
          <w:bCs/>
        </w:rPr>
        <w:t>政拨款收入支出决算总体情况说明</w:t>
      </w:r>
      <w:r>
        <w:tab/>
      </w:r>
      <w:r>
        <w:fldChar w:fldCharType="begin"/>
      </w:r>
      <w:r>
        <w:instrText xml:space="preserve"> PAGEREF _Toc15396606 \h </w:instrText>
      </w:r>
      <w:r>
        <w:fldChar w:fldCharType="separate"/>
      </w:r>
      <w:r>
        <w:t>6</w:t>
      </w:r>
      <w:r>
        <w:fldChar w:fldCharType="end"/>
      </w:r>
      <w:r>
        <w:fldChar w:fldCharType="end"/>
      </w:r>
    </w:p>
    <w:p>
      <w:pPr>
        <w:pStyle w:val="11"/>
        <w:ind w:left="412"/>
      </w:pPr>
      <w:r>
        <w:fldChar w:fldCharType="begin"/>
      </w:r>
      <w:r>
        <w:instrText xml:space="preserve"> HYPERLINK \l "_Toc15396607" </w:instrText>
      </w:r>
      <w:r>
        <w:fldChar w:fldCharType="separate"/>
      </w:r>
      <w:r>
        <w:rPr>
          <w:rStyle w:val="18"/>
          <w:rFonts w:hint="eastAsia"/>
        </w:rPr>
        <w:t>五、一</w:t>
      </w:r>
      <w:r>
        <w:rPr>
          <w:rStyle w:val="18"/>
          <w:rFonts w:hint="eastAsia"/>
          <w:bCs/>
        </w:rPr>
        <w:t>般公共预算财政拨款支出决算情况说明</w:t>
      </w:r>
      <w:r>
        <w:tab/>
      </w:r>
      <w:r>
        <w:fldChar w:fldCharType="begin"/>
      </w:r>
      <w:r>
        <w:instrText xml:space="preserve"> PAGEREF _Toc15396607 \h </w:instrText>
      </w:r>
      <w:r>
        <w:fldChar w:fldCharType="separate"/>
      </w:r>
      <w:r>
        <w:t>6</w:t>
      </w:r>
      <w:r>
        <w:fldChar w:fldCharType="end"/>
      </w:r>
      <w:r>
        <w:fldChar w:fldCharType="end"/>
      </w:r>
    </w:p>
    <w:p>
      <w:pPr>
        <w:pStyle w:val="11"/>
        <w:ind w:left="412"/>
      </w:pPr>
      <w:r>
        <w:fldChar w:fldCharType="begin"/>
      </w:r>
      <w:r>
        <w:instrText xml:space="preserve"> HYPERLINK \l "_Toc15396608" </w:instrText>
      </w:r>
      <w:r>
        <w:fldChar w:fldCharType="separate"/>
      </w:r>
      <w:r>
        <w:rPr>
          <w:rStyle w:val="18"/>
          <w:rFonts w:hint="eastAsia"/>
        </w:rPr>
        <w:t>六、一</w:t>
      </w:r>
      <w:r>
        <w:rPr>
          <w:rStyle w:val="18"/>
          <w:rFonts w:hint="eastAsia"/>
          <w:bCs/>
        </w:rPr>
        <w:t>般公共预算财政拨款基本支出决算情况说明</w:t>
      </w:r>
      <w:r>
        <w:tab/>
      </w:r>
      <w:r>
        <w:fldChar w:fldCharType="begin"/>
      </w:r>
      <w:r>
        <w:instrText xml:space="preserve"> PAGEREF _Toc15396608 \h </w:instrText>
      </w:r>
      <w:r>
        <w:fldChar w:fldCharType="separate"/>
      </w:r>
      <w:r>
        <w:t>8</w:t>
      </w:r>
      <w:r>
        <w:fldChar w:fldCharType="end"/>
      </w:r>
      <w:r>
        <w:fldChar w:fldCharType="end"/>
      </w:r>
    </w:p>
    <w:p>
      <w:pPr>
        <w:pStyle w:val="11"/>
        <w:ind w:left="412"/>
      </w:pPr>
      <w:r>
        <w:fldChar w:fldCharType="begin"/>
      </w:r>
      <w:r>
        <w:instrText xml:space="preserve"> HYPERLINK \l "_Toc15396609" </w:instrText>
      </w:r>
      <w:r>
        <w:fldChar w:fldCharType="separate"/>
      </w:r>
      <w:r>
        <w:rPr>
          <w:rStyle w:val="18"/>
          <w:rFonts w:hint="eastAsia"/>
        </w:rPr>
        <w:t>七、“</w:t>
      </w:r>
      <w:r>
        <w:rPr>
          <w:rStyle w:val="18"/>
          <w:rFonts w:hint="eastAsia"/>
          <w:bCs/>
        </w:rPr>
        <w:t>三公”经费财政拨款支出决算情况说明</w:t>
      </w:r>
      <w:r>
        <w:tab/>
      </w:r>
      <w:r>
        <w:fldChar w:fldCharType="begin"/>
      </w:r>
      <w:r>
        <w:instrText xml:space="preserve"> PAGEREF _Toc15396609 \h </w:instrText>
      </w:r>
      <w:r>
        <w:fldChar w:fldCharType="separate"/>
      </w:r>
      <w:r>
        <w:t>9</w:t>
      </w:r>
      <w:r>
        <w:fldChar w:fldCharType="end"/>
      </w:r>
      <w:r>
        <w:fldChar w:fldCharType="end"/>
      </w:r>
    </w:p>
    <w:p>
      <w:pPr>
        <w:pStyle w:val="11"/>
        <w:ind w:left="412"/>
      </w:pPr>
      <w:r>
        <w:fldChar w:fldCharType="begin"/>
      </w:r>
      <w:r>
        <w:instrText xml:space="preserve"> HYPERLINK \l "_Toc15396610" </w:instrText>
      </w:r>
      <w:r>
        <w:fldChar w:fldCharType="separate"/>
      </w:r>
      <w:r>
        <w:rPr>
          <w:rStyle w:val="18"/>
          <w:rFonts w:hint="eastAsia"/>
        </w:rPr>
        <w:t>八、</w:t>
      </w:r>
      <w:r>
        <w:rPr>
          <w:rStyle w:val="18"/>
          <w:rFonts w:hint="eastAsia"/>
          <w:bCs/>
        </w:rPr>
        <w:t>政府性基金预算支出决算情况说明</w:t>
      </w:r>
      <w:r>
        <w:tab/>
      </w:r>
      <w:r>
        <w:fldChar w:fldCharType="begin"/>
      </w:r>
      <w:r>
        <w:instrText xml:space="preserve"> PAGEREF _Toc15396610 \h </w:instrText>
      </w:r>
      <w:r>
        <w:fldChar w:fldCharType="separate"/>
      </w:r>
      <w:r>
        <w:t>10</w:t>
      </w:r>
      <w:r>
        <w:fldChar w:fldCharType="end"/>
      </w:r>
      <w:r>
        <w:fldChar w:fldCharType="end"/>
      </w:r>
    </w:p>
    <w:p>
      <w:pPr>
        <w:pStyle w:val="11"/>
        <w:ind w:left="412"/>
      </w:pPr>
      <w:r>
        <w:fldChar w:fldCharType="begin"/>
      </w:r>
      <w:r>
        <w:instrText xml:space="preserve"> HYPERLINK \l "_Toc15396611" </w:instrText>
      </w:r>
      <w:r>
        <w:fldChar w:fldCharType="separate"/>
      </w:r>
      <w:r>
        <w:rPr>
          <w:rStyle w:val="18"/>
          <w:rFonts w:hint="eastAsia"/>
          <w:bCs/>
        </w:rPr>
        <w:t>九、</w:t>
      </w:r>
      <w:r>
        <w:rPr>
          <w:rStyle w:val="18"/>
        </w:rPr>
        <w:t xml:space="preserve"> </w:t>
      </w:r>
      <w:r>
        <w:rPr>
          <w:rStyle w:val="18"/>
          <w:rFonts w:hint="eastAsia"/>
        </w:rPr>
        <w:t>国</w:t>
      </w:r>
      <w:r>
        <w:rPr>
          <w:rStyle w:val="18"/>
          <w:rFonts w:hint="eastAsia"/>
          <w:bCs/>
        </w:rPr>
        <w:t>有资本经营预算支出决算情况说明</w:t>
      </w:r>
      <w:r>
        <w:tab/>
      </w:r>
      <w:r>
        <w:fldChar w:fldCharType="begin"/>
      </w:r>
      <w:r>
        <w:instrText xml:space="preserve"> PAGEREF _Toc15396611 \h </w:instrText>
      </w:r>
      <w:r>
        <w:fldChar w:fldCharType="separate"/>
      </w:r>
      <w:r>
        <w:t>10</w:t>
      </w:r>
      <w:r>
        <w:fldChar w:fldCharType="end"/>
      </w:r>
      <w:r>
        <w:fldChar w:fldCharType="end"/>
      </w:r>
    </w:p>
    <w:p>
      <w:pPr>
        <w:pStyle w:val="11"/>
        <w:ind w:left="412"/>
        <w:rPr>
          <w:rStyle w:val="18"/>
          <w:bCs/>
          <w:color w:val="auto"/>
          <w:u w:val="none"/>
        </w:rPr>
      </w:pPr>
      <w:r>
        <w:rPr>
          <w:rStyle w:val="18"/>
          <w:rFonts w:hint="eastAsia"/>
          <w:bCs/>
          <w:color w:val="auto"/>
          <w:u w:val="none"/>
        </w:rPr>
        <w:t>十、</w:t>
      </w:r>
      <w:r>
        <w:rPr>
          <w:rStyle w:val="18"/>
          <w:bCs/>
          <w:color w:val="auto"/>
          <w:u w:val="none"/>
        </w:rPr>
        <w:t xml:space="preserve"> </w:t>
      </w:r>
      <w:r>
        <w:rPr>
          <w:rStyle w:val="18"/>
          <w:rFonts w:hint="eastAsia"/>
          <w:bCs/>
          <w:color w:val="auto"/>
          <w:u w:val="none"/>
        </w:rPr>
        <w:t>预算绩效情况说明</w:t>
      </w:r>
      <w:r>
        <w:rPr>
          <w:rStyle w:val="18"/>
          <w:bCs/>
          <w:color w:val="auto"/>
          <w:u w:val="none"/>
        </w:rPr>
        <w:tab/>
      </w:r>
      <w:r>
        <w:rPr>
          <w:rStyle w:val="18"/>
          <w:bCs/>
          <w:color w:val="auto"/>
          <w:u w:val="none"/>
        </w:rPr>
        <w:fldChar w:fldCharType="begin"/>
      </w:r>
      <w:r>
        <w:rPr>
          <w:rStyle w:val="18"/>
          <w:bCs/>
          <w:color w:val="auto"/>
          <w:u w:val="none"/>
        </w:rPr>
        <w:instrText xml:space="preserve"> PAGEREF _Toc15396611 \h </w:instrText>
      </w:r>
      <w:r>
        <w:rPr>
          <w:rStyle w:val="18"/>
          <w:bCs/>
          <w:color w:val="auto"/>
          <w:u w:val="none"/>
        </w:rPr>
        <w:fldChar w:fldCharType="separate"/>
      </w:r>
      <w:r>
        <w:rPr>
          <w:rStyle w:val="18"/>
          <w:bCs/>
          <w:color w:val="auto"/>
          <w:u w:val="none"/>
        </w:rPr>
        <w:t>11</w:t>
      </w:r>
      <w:r>
        <w:rPr>
          <w:rStyle w:val="18"/>
          <w:bCs/>
          <w:color w:val="auto"/>
          <w:u w:val="none"/>
        </w:rPr>
        <w:fldChar w:fldCharType="end"/>
      </w:r>
    </w:p>
    <w:p>
      <w:pPr>
        <w:pStyle w:val="11"/>
        <w:ind w:left="412"/>
      </w:pPr>
      <w:r>
        <w:fldChar w:fldCharType="begin"/>
      </w:r>
      <w:r>
        <w:instrText xml:space="preserve"> HYPERLINK \l "_Toc15396612" </w:instrText>
      </w:r>
      <w:r>
        <w:fldChar w:fldCharType="separate"/>
      </w:r>
      <w:r>
        <w:rPr>
          <w:rStyle w:val="18"/>
          <w:rFonts w:hint="eastAsia"/>
        </w:rPr>
        <w:t>十</w:t>
      </w:r>
      <w:r>
        <w:rPr>
          <w:rStyle w:val="18"/>
          <w:rFonts w:hint="eastAsia"/>
          <w:bCs/>
        </w:rPr>
        <w:t>一、其他重要事项的情况说明</w:t>
      </w:r>
      <w:r>
        <w:tab/>
      </w:r>
      <w:r>
        <w:fldChar w:fldCharType="begin"/>
      </w:r>
      <w:r>
        <w:instrText xml:space="preserve"> PAGEREF _Toc15396612 \h </w:instrText>
      </w:r>
      <w:r>
        <w:fldChar w:fldCharType="separate"/>
      </w:r>
      <w:r>
        <w:t>14</w:t>
      </w:r>
      <w:r>
        <w:fldChar w:fldCharType="end"/>
      </w:r>
      <w:r>
        <w:fldChar w:fldCharType="end"/>
      </w:r>
    </w:p>
    <w:p>
      <w:pPr>
        <w:pStyle w:val="10"/>
      </w:pPr>
      <w:r>
        <w:fldChar w:fldCharType="begin"/>
      </w:r>
      <w:r>
        <w:instrText xml:space="preserve"> HYPERLINK \l "_Toc15396613" </w:instrText>
      </w:r>
      <w:r>
        <w:fldChar w:fldCharType="separate"/>
      </w:r>
      <w:r>
        <w:rPr>
          <w:rStyle w:val="18"/>
          <w:rFonts w:hint="eastAsia"/>
          <w:bCs/>
          <w:kern w:val="44"/>
        </w:rPr>
        <w:t>第三部分</w:t>
      </w:r>
      <w:r>
        <w:rPr>
          <w:rStyle w:val="18"/>
        </w:rPr>
        <w:t xml:space="preserve"> </w:t>
      </w:r>
      <w:r>
        <w:rPr>
          <w:rStyle w:val="18"/>
          <w:rFonts w:hint="eastAsia"/>
        </w:rPr>
        <w:t>名</w:t>
      </w:r>
      <w:r>
        <w:rPr>
          <w:rStyle w:val="18"/>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1"/>
        <w:ind w:left="412"/>
      </w:pPr>
      <w:r>
        <w:fldChar w:fldCharType="begin"/>
      </w:r>
      <w:r>
        <w:instrText xml:space="preserve"> HYPERLINK \l "_Toc15396615" </w:instrText>
      </w:r>
      <w:r>
        <w:fldChar w:fldCharType="separate"/>
      </w:r>
      <w:r>
        <w:rPr>
          <w:rStyle w:val="18"/>
          <w:rFonts w:hint="eastAsia"/>
          <w:kern w:val="44"/>
        </w:rPr>
        <w:t>附件</w:t>
      </w:r>
      <w:r>
        <w:rPr>
          <w:rStyle w:val="18"/>
          <w:kern w:val="44"/>
        </w:rPr>
        <w:t>1</w:t>
      </w:r>
      <w:r>
        <w:tab/>
      </w:r>
      <w:r>
        <w:fldChar w:fldCharType="begin"/>
      </w:r>
      <w:r>
        <w:instrText xml:space="preserve"> PAGEREF _Toc15396615 \h </w:instrText>
      </w:r>
      <w:r>
        <w:fldChar w:fldCharType="separate"/>
      </w:r>
      <w:r>
        <w:t>19</w:t>
      </w:r>
      <w:r>
        <w:fldChar w:fldCharType="end"/>
      </w:r>
      <w:r>
        <w:fldChar w:fldCharType="end"/>
      </w:r>
    </w:p>
    <w:p>
      <w:pPr>
        <w:pStyle w:val="11"/>
        <w:ind w:left="412"/>
      </w:pPr>
      <w:r>
        <w:fldChar w:fldCharType="begin"/>
      </w:r>
      <w:r>
        <w:instrText xml:space="preserve"> HYPERLINK \l "_Toc15396617" </w:instrText>
      </w:r>
      <w:r>
        <w:fldChar w:fldCharType="separate"/>
      </w:r>
      <w:r>
        <w:rPr>
          <w:rStyle w:val="18"/>
          <w:rFonts w:hint="eastAsia"/>
          <w:kern w:val="44"/>
        </w:rPr>
        <w:t>附件</w:t>
      </w:r>
      <w:r>
        <w:rPr>
          <w:rStyle w:val="18"/>
          <w:kern w:val="44"/>
        </w:rPr>
        <w:t>2</w:t>
      </w:r>
      <w:r>
        <w:tab/>
      </w:r>
      <w:r>
        <w:fldChar w:fldCharType="begin"/>
      </w:r>
      <w:r>
        <w:instrText xml:space="preserve"> PAGEREF _Toc15396617 \h </w:instrText>
      </w:r>
      <w:r>
        <w:fldChar w:fldCharType="separate"/>
      </w:r>
      <w:r>
        <w:t>21</w:t>
      </w:r>
      <w:r>
        <w:fldChar w:fldCharType="end"/>
      </w:r>
      <w:r>
        <w:fldChar w:fldCharType="end"/>
      </w:r>
    </w:p>
    <w:p>
      <w:pPr>
        <w:pStyle w:val="10"/>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五部分附表</w:t>
      </w:r>
      <w:r>
        <w:tab/>
      </w:r>
      <w:r>
        <w:fldChar w:fldCharType="begin"/>
      </w:r>
      <w:r>
        <w:instrText xml:space="preserve"> PAGEREF _Toc15396618 \h </w:instrText>
      </w:r>
      <w:r>
        <w:fldChar w:fldCharType="separate"/>
      </w:r>
      <w:r>
        <w:t>22</w:t>
      </w:r>
      <w:r>
        <w:fldChar w:fldCharType="end"/>
      </w:r>
      <w:r>
        <w:fldChar w:fldCharType="end"/>
      </w:r>
    </w:p>
    <w:p>
      <w:pPr>
        <w:pStyle w:val="11"/>
        <w:ind w:left="412"/>
      </w:pPr>
      <w:r>
        <w:rPr>
          <w:rFonts w:hint="eastAsia"/>
        </w:rPr>
        <w:t>一、</w:t>
      </w:r>
      <w:r>
        <w:fldChar w:fldCharType="begin"/>
      </w:r>
      <w:r>
        <w:instrText xml:space="preserve"> HYPERLINK \l "_Toc15396619" </w:instrText>
      </w:r>
      <w:r>
        <w:fldChar w:fldCharType="separate"/>
      </w:r>
      <w:r>
        <w:rPr>
          <w:rStyle w:val="18"/>
          <w:rFonts w:hint="eastAsia"/>
        </w:rPr>
        <w:t>收入支出决算总表</w:t>
      </w:r>
      <w:r>
        <w:tab/>
      </w:r>
      <w:r>
        <w:fldChar w:fldCharType="begin"/>
      </w:r>
      <w:r>
        <w:instrText xml:space="preserve"> PAGEREF _Toc15396619 \h </w:instrText>
      </w:r>
      <w:r>
        <w:fldChar w:fldCharType="separate"/>
      </w:r>
      <w:r>
        <w:t>22</w:t>
      </w:r>
      <w:r>
        <w:fldChar w:fldCharType="end"/>
      </w:r>
      <w:r>
        <w:fldChar w:fldCharType="end"/>
      </w:r>
    </w:p>
    <w:p>
      <w:pPr>
        <w:pStyle w:val="11"/>
        <w:ind w:left="412"/>
      </w:pPr>
      <w:r>
        <w:rPr>
          <w:rFonts w:hint="eastAsia"/>
        </w:rPr>
        <w:t>二、</w:t>
      </w:r>
      <w:r>
        <w:fldChar w:fldCharType="begin"/>
      </w:r>
      <w:r>
        <w:instrText xml:space="preserve"> HYPERLINK \l "_Toc15396620" </w:instrText>
      </w:r>
      <w:r>
        <w:fldChar w:fldCharType="separate"/>
      </w:r>
      <w:r>
        <w:rPr>
          <w:rStyle w:val="18"/>
          <w:rFonts w:hint="eastAsia"/>
        </w:rPr>
        <w:t>收入总表</w:t>
      </w:r>
      <w:r>
        <w:tab/>
      </w:r>
      <w:r>
        <w:fldChar w:fldCharType="begin"/>
      </w:r>
      <w:r>
        <w:instrText xml:space="preserve"> PAGEREF _Toc15396620 \h </w:instrText>
      </w:r>
      <w:r>
        <w:fldChar w:fldCharType="separate"/>
      </w:r>
      <w:r>
        <w:t>22</w:t>
      </w:r>
      <w:r>
        <w:fldChar w:fldCharType="end"/>
      </w:r>
      <w:r>
        <w:fldChar w:fldCharType="end"/>
      </w:r>
    </w:p>
    <w:p>
      <w:pPr>
        <w:pStyle w:val="11"/>
        <w:ind w:left="412"/>
      </w:pPr>
      <w:r>
        <w:rPr>
          <w:rFonts w:hint="eastAsia"/>
        </w:rPr>
        <w:t>三、</w:t>
      </w:r>
      <w:r>
        <w:fldChar w:fldCharType="begin"/>
      </w:r>
      <w:r>
        <w:instrText xml:space="preserve"> HYPERLINK \l "_Toc15396621" </w:instrText>
      </w:r>
      <w:r>
        <w:fldChar w:fldCharType="separate"/>
      </w:r>
      <w:r>
        <w:rPr>
          <w:rStyle w:val="18"/>
          <w:rFonts w:hint="eastAsia"/>
        </w:rPr>
        <w:t>支出总表</w:t>
      </w:r>
      <w:r>
        <w:tab/>
      </w:r>
      <w:r>
        <w:fldChar w:fldCharType="begin"/>
      </w:r>
      <w:r>
        <w:instrText xml:space="preserve"> PAGEREF _Toc15396621 \h </w:instrText>
      </w:r>
      <w:r>
        <w:fldChar w:fldCharType="separate"/>
      </w:r>
      <w:r>
        <w:t>22</w:t>
      </w:r>
      <w:r>
        <w:fldChar w:fldCharType="end"/>
      </w:r>
      <w:r>
        <w:fldChar w:fldCharType="end"/>
      </w:r>
    </w:p>
    <w:p>
      <w:pPr>
        <w:pStyle w:val="11"/>
        <w:ind w:left="412"/>
      </w:pPr>
      <w:r>
        <w:rPr>
          <w:rFonts w:hint="eastAsia"/>
        </w:rPr>
        <w:t>四、</w:t>
      </w:r>
      <w:r>
        <w:fldChar w:fldCharType="begin"/>
      </w:r>
      <w:r>
        <w:instrText xml:space="preserve"> HYPERLINK \l "_Toc15396622" </w:instrText>
      </w:r>
      <w:r>
        <w:fldChar w:fldCharType="separate"/>
      </w:r>
      <w:r>
        <w:rPr>
          <w:rStyle w:val="18"/>
          <w:rFonts w:hint="eastAsia"/>
        </w:rPr>
        <w:t>财政拨款收入支出决算总表</w:t>
      </w:r>
      <w:r>
        <w:tab/>
      </w:r>
      <w:r>
        <w:fldChar w:fldCharType="begin"/>
      </w:r>
      <w:r>
        <w:instrText xml:space="preserve"> PAGEREF _Toc15396622 \h </w:instrText>
      </w:r>
      <w:r>
        <w:fldChar w:fldCharType="separate"/>
      </w:r>
      <w:r>
        <w:t>22</w:t>
      </w:r>
      <w:r>
        <w:fldChar w:fldCharType="end"/>
      </w:r>
      <w:r>
        <w:fldChar w:fldCharType="end"/>
      </w:r>
    </w:p>
    <w:p>
      <w:pPr>
        <w:pStyle w:val="11"/>
        <w:ind w:left="412"/>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22</w:t>
      </w:r>
      <w:r>
        <w:fldChar w:fldCharType="end"/>
      </w:r>
      <w:r>
        <w:fldChar w:fldCharType="end"/>
      </w:r>
    </w:p>
    <w:p>
      <w:pPr>
        <w:pStyle w:val="11"/>
        <w:ind w:left="412"/>
      </w:pPr>
      <w:r>
        <w:rPr>
          <w:rFonts w:hint="eastAsia"/>
        </w:rPr>
        <w:t>六、</w:t>
      </w:r>
      <w:r>
        <w:fldChar w:fldCharType="begin"/>
      </w:r>
      <w:r>
        <w:instrText xml:space="preserve"> HYPERLINK \l "_Toc15396624" </w:instrText>
      </w:r>
      <w:r>
        <w:fldChar w:fldCharType="separate"/>
      </w:r>
      <w:r>
        <w:rPr>
          <w:rStyle w:val="18"/>
          <w:rFonts w:hint="eastAsia"/>
        </w:rPr>
        <w:t>一般公共预算财政拨款支出决算表</w:t>
      </w:r>
      <w:r>
        <w:tab/>
      </w:r>
      <w:r>
        <w:fldChar w:fldCharType="begin"/>
      </w:r>
      <w:r>
        <w:instrText xml:space="preserve"> PAGEREF _Toc15396624 \h </w:instrText>
      </w:r>
      <w:r>
        <w:fldChar w:fldCharType="separate"/>
      </w:r>
      <w:r>
        <w:t>22</w:t>
      </w:r>
      <w:r>
        <w:fldChar w:fldCharType="end"/>
      </w:r>
      <w:r>
        <w:fldChar w:fldCharType="end"/>
      </w:r>
    </w:p>
    <w:p>
      <w:pPr>
        <w:pStyle w:val="11"/>
        <w:ind w:left="412"/>
      </w:pPr>
      <w:r>
        <w:rPr>
          <w:rFonts w:hint="eastAsia"/>
        </w:rPr>
        <w:t>七、</w:t>
      </w:r>
      <w:r>
        <w:fldChar w:fldCharType="begin"/>
      </w:r>
      <w:r>
        <w:instrText xml:space="preserve"> HYPERLINK \l "_Toc15396625" </w:instrText>
      </w:r>
      <w:r>
        <w:fldChar w:fldCharType="separate"/>
      </w:r>
      <w:r>
        <w:rPr>
          <w:rStyle w:val="18"/>
          <w:rFonts w:hint="eastAsia"/>
        </w:rPr>
        <w:t>一般公共预算财政拨款支出决算明细表</w:t>
      </w:r>
      <w:r>
        <w:tab/>
      </w:r>
      <w:r>
        <w:fldChar w:fldCharType="begin"/>
      </w:r>
      <w:r>
        <w:instrText xml:space="preserve"> PAGEREF _Toc15396625 \h </w:instrText>
      </w:r>
      <w:r>
        <w:fldChar w:fldCharType="separate"/>
      </w:r>
      <w:r>
        <w:t>22</w:t>
      </w:r>
      <w:r>
        <w:fldChar w:fldCharType="end"/>
      </w:r>
      <w:r>
        <w:fldChar w:fldCharType="end"/>
      </w:r>
    </w:p>
    <w:p>
      <w:pPr>
        <w:pStyle w:val="11"/>
        <w:ind w:left="412"/>
      </w:pPr>
      <w:r>
        <w:rPr>
          <w:rFonts w:hint="eastAsia"/>
        </w:rPr>
        <w:t>八、</w:t>
      </w:r>
      <w:r>
        <w:fldChar w:fldCharType="begin"/>
      </w:r>
      <w:r>
        <w:instrText xml:space="preserve"> HYPERLINK \l "_Toc15396626" </w:instrText>
      </w:r>
      <w:r>
        <w:fldChar w:fldCharType="separate"/>
      </w:r>
      <w:r>
        <w:rPr>
          <w:rStyle w:val="18"/>
          <w:rFonts w:hint="eastAsia"/>
        </w:rPr>
        <w:t>一般公共预算财政拨款基本支出决算表</w:t>
      </w:r>
      <w:r>
        <w:tab/>
      </w:r>
      <w:r>
        <w:fldChar w:fldCharType="begin"/>
      </w:r>
      <w:r>
        <w:instrText xml:space="preserve"> PAGEREF _Toc15396626 \h </w:instrText>
      </w:r>
      <w:r>
        <w:fldChar w:fldCharType="separate"/>
      </w:r>
      <w:r>
        <w:t>22</w:t>
      </w:r>
      <w:r>
        <w:fldChar w:fldCharType="end"/>
      </w:r>
      <w:r>
        <w:fldChar w:fldCharType="end"/>
      </w:r>
    </w:p>
    <w:p>
      <w:pPr>
        <w:pStyle w:val="11"/>
        <w:ind w:left="412"/>
      </w:pPr>
      <w:r>
        <w:rPr>
          <w:rFonts w:hint="eastAsia"/>
        </w:rPr>
        <w:t>九、</w:t>
      </w:r>
      <w:r>
        <w:fldChar w:fldCharType="begin"/>
      </w:r>
      <w:r>
        <w:instrText xml:space="preserve"> HYPERLINK \l "_Toc15396627" </w:instrText>
      </w:r>
      <w:r>
        <w:fldChar w:fldCharType="separate"/>
      </w:r>
      <w:r>
        <w:rPr>
          <w:rStyle w:val="18"/>
          <w:rFonts w:hint="eastAsia"/>
        </w:rPr>
        <w:t>一般公共预算财政拨款项目支出决算表</w:t>
      </w:r>
      <w:r>
        <w:tab/>
      </w:r>
      <w:r>
        <w:fldChar w:fldCharType="begin"/>
      </w:r>
      <w:r>
        <w:instrText xml:space="preserve"> PAGEREF _Toc15396627 \h </w:instrText>
      </w:r>
      <w:r>
        <w:fldChar w:fldCharType="separate"/>
      </w:r>
      <w:r>
        <w:t>22</w:t>
      </w:r>
      <w:r>
        <w:fldChar w:fldCharType="end"/>
      </w:r>
      <w:r>
        <w:fldChar w:fldCharType="end"/>
      </w:r>
    </w:p>
    <w:p>
      <w:pPr>
        <w:pStyle w:val="11"/>
        <w:ind w:left="412"/>
      </w:pPr>
      <w:r>
        <w:rPr>
          <w:rFonts w:hint="eastAsia"/>
        </w:rPr>
        <w:t>十、</w:t>
      </w:r>
      <w:r>
        <w:fldChar w:fldCharType="begin"/>
      </w:r>
      <w:r>
        <w:instrText xml:space="preserve"> HYPERLINK \l "_Toc15396628" </w:instrText>
      </w:r>
      <w:r>
        <w:fldChar w:fldCharType="separate"/>
      </w:r>
      <w:r>
        <w:rPr>
          <w:rStyle w:val="18"/>
          <w:rFonts w:hint="eastAsia"/>
        </w:rPr>
        <w:t>一般公共预算财政拨款“三公”经费支出决算表</w:t>
      </w:r>
      <w:r>
        <w:tab/>
      </w:r>
      <w:r>
        <w:fldChar w:fldCharType="begin"/>
      </w:r>
      <w:r>
        <w:instrText xml:space="preserve"> PAGEREF _Toc15396628 \h </w:instrText>
      </w:r>
      <w:r>
        <w:fldChar w:fldCharType="separate"/>
      </w:r>
      <w:r>
        <w:t>22</w:t>
      </w:r>
      <w:r>
        <w:fldChar w:fldCharType="end"/>
      </w:r>
      <w:r>
        <w:fldChar w:fldCharType="end"/>
      </w:r>
    </w:p>
    <w:p>
      <w:pPr>
        <w:pStyle w:val="11"/>
        <w:ind w:left="412"/>
      </w:pPr>
      <w:r>
        <w:rPr>
          <w:rFonts w:hint="eastAsia"/>
        </w:rPr>
        <w:t>十一、</w:t>
      </w:r>
      <w:r>
        <w:fldChar w:fldCharType="begin"/>
      </w:r>
      <w:r>
        <w:instrText xml:space="preserve"> HYPERLINK \l "_Toc15396629" </w:instrText>
      </w:r>
      <w:r>
        <w:fldChar w:fldCharType="separate"/>
      </w:r>
      <w:r>
        <w:rPr>
          <w:rStyle w:val="18"/>
          <w:rFonts w:hint="eastAsia"/>
        </w:rPr>
        <w:t>政府性基金预算财政拨款收入支出决算表</w:t>
      </w:r>
      <w:r>
        <w:tab/>
      </w:r>
      <w:r>
        <w:fldChar w:fldCharType="begin"/>
      </w:r>
      <w:r>
        <w:instrText xml:space="preserve"> PAGEREF _Toc15396629 \h </w:instrText>
      </w:r>
      <w:r>
        <w:fldChar w:fldCharType="separate"/>
      </w:r>
      <w:r>
        <w:t>22</w:t>
      </w:r>
      <w:r>
        <w:fldChar w:fldCharType="end"/>
      </w:r>
      <w:r>
        <w:fldChar w:fldCharType="end"/>
      </w:r>
    </w:p>
    <w:p>
      <w:pPr>
        <w:pStyle w:val="11"/>
        <w:ind w:left="412"/>
      </w:pPr>
      <w:r>
        <w:rPr>
          <w:rFonts w:hint="eastAsia"/>
        </w:rPr>
        <w:t>十二、</w:t>
      </w:r>
      <w:r>
        <w:fldChar w:fldCharType="begin"/>
      </w:r>
      <w:r>
        <w:instrText xml:space="preserve"> HYPERLINK \l "_Toc15396630" </w:instrText>
      </w:r>
      <w:r>
        <w:fldChar w:fldCharType="separate"/>
      </w:r>
      <w:r>
        <w:rPr>
          <w:rStyle w:val="18"/>
          <w:rFonts w:hint="eastAsia"/>
        </w:rPr>
        <w:t>政府性基金预算财政拨款“三公”经费支出决算表</w:t>
      </w:r>
      <w:r>
        <w:tab/>
      </w:r>
      <w:r>
        <w:fldChar w:fldCharType="begin"/>
      </w:r>
      <w:r>
        <w:instrText xml:space="preserve"> PAGEREF _Toc15396630 \h </w:instrText>
      </w:r>
      <w:r>
        <w:fldChar w:fldCharType="separate"/>
      </w:r>
      <w:r>
        <w:t>22</w:t>
      </w:r>
      <w:r>
        <w:fldChar w:fldCharType="end"/>
      </w:r>
      <w:r>
        <w:fldChar w:fldCharType="end"/>
      </w:r>
    </w:p>
    <w:p>
      <w:pPr>
        <w:pStyle w:val="11"/>
        <w:ind w:left="412"/>
        <w:rPr>
          <w:sz w:val="24"/>
        </w:rPr>
      </w:pPr>
      <w:r>
        <w:rPr>
          <w:rFonts w:hint="eastAsia"/>
        </w:rPr>
        <w:t>十三、</w:t>
      </w:r>
      <w:r>
        <w:fldChar w:fldCharType="begin"/>
      </w:r>
      <w:r>
        <w:instrText xml:space="preserve"> HYPERLINK \l "_Toc15396631" </w:instrText>
      </w:r>
      <w:r>
        <w:fldChar w:fldCharType="separate"/>
      </w:r>
      <w:r>
        <w:rPr>
          <w:rStyle w:val="18"/>
          <w:rFonts w:hint="eastAsia"/>
        </w:rPr>
        <w:t>国有资本经营预算支出决算表</w:t>
      </w:r>
      <w:r>
        <w:tab/>
      </w:r>
      <w:r>
        <w:fldChar w:fldCharType="begin"/>
      </w:r>
      <w:r>
        <w:instrText xml:space="preserve"> PAGEREF _Toc15396631 \h </w:instrText>
      </w:r>
      <w:r>
        <w:fldChar w:fldCharType="separate"/>
      </w:r>
      <w:r>
        <w:t>22</w:t>
      </w:r>
      <w:r>
        <w:fldChar w:fldCharType="end"/>
      </w:r>
      <w: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spacing w:line="240" w:lineRule="auto"/>
        <w:jc w:val="center"/>
        <w:rPr>
          <w:rStyle w:val="19"/>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9"/>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spacing w:line="240" w:lineRule="auto"/>
        <w:rPr>
          <w:rStyle w:val="20"/>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0"/>
          <w:rFonts w:hint="eastAsia" w:ascii="黑体" w:hAnsi="黑体" w:eastAsia="黑体"/>
          <w:b w:val="0"/>
          <w:bCs w:val="0"/>
        </w:rPr>
        <w:t>本职能及主要工作</w:t>
      </w:r>
      <w:bookmarkEnd w:id="14"/>
      <w:bookmarkEnd w:id="15"/>
    </w:p>
    <w:p>
      <w:pPr>
        <w:pStyle w:val="5"/>
        <w:adjustRightInd w:val="0"/>
        <w:snapToGrid w:val="0"/>
        <w:spacing w:beforeLines="0" w:line="360" w:lineRule="auto"/>
        <w:ind w:firstLine="632" w:firstLineChars="200"/>
        <w:jc w:val="left"/>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（1）承担全面依法治市重大问题的政策研究，协调有关方面提出全面依法治市规划建议，负责有关重大决策部署督察工作。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2）承担统筹规划行政立法工作的责任。协调有关方面提出行政立法规划和年度行政立法工作计划的建议，负责跟踪了解各部门对行政立法工作计划的落实情况，加强组织实施和督促指导，研究提出行政立法与改革决策相衔接的意见、措施。负责面向社会征集地方性法规、规章制定项目建议。</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（3）负责起草或者组织起草地方性法规、市政府规章草案。负责市政府各部门报送市政府的地方性法规、规章草案的审查工作。负责行政立法协调。</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（4）承担市政府规章的解释、行政立法后评估工作。负责协调各地、各部门实施法律、法规、规章中的有关争议和问题。承办市政府规章的清理、编纂、翻译工作。承办市政府规章报送备案工作。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5）负责市委、市政府规范性文件、重大行政决策发布前的合法性审查。承办市政府规范性文件的报送备案工作。负责各县（区）政府和市政府各部门规范性文件报送市政府的备案审查工作。组织开展规范性文件清理。负责市本级政府合同管理、市政府涉法事务处理。</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6）承担统筹推进法治政府建设的责任。监督指导各县（区）政府、市政府各部门、市直园区管委会依法行政工作。负责综合协调、监督检查行政执法，承担推进行政执法体制改革有关工作，推进严格规范公正文明执法。指导监督全市行政复议、行政应诉和行政赔偿工作，承办向市政府申请的行政复议、行政赔偿案件，代理市政府行政应诉案件。</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7）承担统筹规划法治社会建设的责任。负责拟订法治宣传教育规划，组织实施普法宣传，组织对外法治宣传。推动人民参与和促进法治建设。指导依法治理和法治创建工作。指导调解工作。负责并指导人民监督员的选任管理工作。指导监督人民陪审员选任工作。推进司法所建设。</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（8）指导管理社区矫正工作。指导刑满释放人员帮教安置工作。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（9）负责全市司法行政戒毒管理工作。指导监督本系统强制隔离戒毒执行和戒毒康复工作。对社区戒毒和社区康复工作提供指导、支持和协助。</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（10）负责拟订全市公共法律服务体系建设规划并指导实施，统筹和布局全市城乡、区域法律服务资源。指导监督律师、法律援助、司法鉴定、公证、仲裁和基层法律服务工作。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（11）负责全市国家统一法律职业资格考试的组织实施工作。负责全市国家统一法律职业资格管理工作。负责规划和指导法律职业人员入职前培训工作。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（12）负责本系统服装和警车管理工作。指导监督本系统财务、装备、设施、场所等保障工作。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（13）规划、协调、指导法治人才队伍建设相关工作，指导监督本系统队伍建设。协助县（区）管理司法局领导干部。</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（14）负责并指导本系统行政审批工作。负责全市外来企业涉及政务服务和行政执法方面的投诉处理。</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（15）负责职责范围内的安全生产和职业健康、生态环境保护、审批服务便民化等工作。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（16）完成市委和市政府交办的其他任务。</w:t>
      </w:r>
    </w:p>
    <w:p>
      <w:pPr>
        <w:pStyle w:val="5"/>
        <w:adjustRightInd w:val="0"/>
        <w:snapToGrid w:val="0"/>
        <w:spacing w:beforeLines="0" w:line="360" w:lineRule="auto"/>
        <w:ind w:firstLine="632" w:firstLineChars="200"/>
        <w:jc w:val="left"/>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bCs/>
          <w:sz w:val="32"/>
          <w:szCs w:val="32"/>
        </w:rPr>
        <w:t>一是</w:t>
      </w:r>
      <w:r>
        <w:rPr>
          <w:rFonts w:hint="eastAsia" w:ascii="仿宋" w:hAnsi="仿宋" w:eastAsia="仿宋"/>
          <w:sz w:val="32"/>
          <w:szCs w:val="32"/>
        </w:rPr>
        <w:t>聚焦四大关键抓普法，营造浓厚法治氛围</w:t>
      </w:r>
      <w:r>
        <w:rPr>
          <w:rFonts w:hint="eastAsia" w:ascii="仿宋" w:hAnsi="仿宋" w:eastAsia="仿宋"/>
          <w:bCs/>
          <w:sz w:val="32"/>
          <w:szCs w:val="32"/>
        </w:rPr>
        <w:t>。</w:t>
      </w:r>
      <w:r>
        <w:rPr>
          <w:rFonts w:hint="eastAsia" w:ascii="仿宋" w:hAnsi="仿宋" w:eastAsia="仿宋"/>
          <w:sz w:val="32"/>
          <w:szCs w:val="32"/>
        </w:rPr>
        <w:t>起草印发了《遂宁市法治宣传教育第七个五年规划（2016—2020年）》，筹备召开了 “遂宁市‘七五’普法动员暨‘法律七进’推进电视电话会议”，加大普法宣传力度</w:t>
      </w:r>
      <w:r>
        <w:rPr>
          <w:rFonts w:hint="eastAsia" w:ascii="仿宋" w:hAnsi="仿宋" w:eastAsia="仿宋"/>
          <w:bCs/>
          <w:sz w:val="32"/>
          <w:szCs w:val="32"/>
        </w:rPr>
        <w:t>；</w:t>
      </w:r>
      <w:r>
        <w:rPr>
          <w:rFonts w:hint="eastAsia" w:ascii="仿宋" w:hAnsi="仿宋" w:eastAsia="仿宋"/>
          <w:sz w:val="32"/>
          <w:szCs w:val="32"/>
        </w:rPr>
        <w:t>拓宽领域，加强普法阵地建设</w:t>
      </w:r>
      <w:r>
        <w:rPr>
          <w:rFonts w:hint="eastAsia" w:ascii="仿宋" w:hAnsi="仿宋" w:eastAsia="仿宋"/>
          <w:bCs/>
          <w:sz w:val="32"/>
          <w:szCs w:val="32"/>
        </w:rPr>
        <w:t>；</w:t>
      </w:r>
      <w:r>
        <w:rPr>
          <w:rFonts w:hint="eastAsia" w:ascii="仿宋" w:hAnsi="仿宋" w:eastAsia="仿宋"/>
          <w:sz w:val="32"/>
          <w:szCs w:val="32"/>
        </w:rPr>
        <w:t>落实责任，规范普法宣传制度</w:t>
      </w:r>
      <w:r>
        <w:rPr>
          <w:rFonts w:hint="eastAsia" w:ascii="仿宋" w:hAnsi="仿宋" w:eastAsia="仿宋"/>
          <w:bCs/>
          <w:sz w:val="32"/>
          <w:szCs w:val="32"/>
        </w:rPr>
        <w:t>。二是</w:t>
      </w:r>
      <w:r>
        <w:rPr>
          <w:rFonts w:hint="eastAsia" w:ascii="仿宋" w:hAnsi="仿宋" w:eastAsia="仿宋"/>
          <w:sz w:val="32"/>
          <w:szCs w:val="32"/>
        </w:rPr>
        <w:t>深化三项改革谋发展，做优法律援助，办好民生工程；做优律师公证，助力法律服务行业全面发展。</w:t>
      </w:r>
      <w:r>
        <w:rPr>
          <w:rFonts w:hint="eastAsia" w:ascii="仿宋" w:hAnsi="仿宋" w:eastAsia="仿宋"/>
          <w:bCs/>
          <w:sz w:val="32"/>
          <w:szCs w:val="32"/>
        </w:rPr>
        <w:t>三是</w:t>
      </w:r>
      <w:r>
        <w:rPr>
          <w:rFonts w:hint="eastAsia" w:ascii="仿宋" w:hAnsi="仿宋" w:eastAsia="仿宋"/>
          <w:sz w:val="32"/>
          <w:szCs w:val="32"/>
        </w:rPr>
        <w:t>加快司法所规范化建设步伐，制定出台了《关于加强遂宁市司法所规范化建设工作的实施方案》；切实有力推进人民调解。有力推动“公调对接”工作，印发了《关于建立完善人民调解与治安调解对接制度的实施方案》；健全完善社区矫正机制，完善“一对一”、“多帮一”的社区服刑人员日常帮教机制，建立“4+X”矫正小组，制定了《遂宁市社区服刑人员分类管理实施办法（试行）》，实施重点社区服刑人员由县级司法行政机关负责人和司法所长“定人包案”制度。</w:t>
      </w:r>
      <w:r>
        <w:rPr>
          <w:rFonts w:hint="eastAsia" w:ascii="仿宋" w:hAnsi="仿宋" w:eastAsia="仿宋"/>
          <w:bCs/>
          <w:sz w:val="32"/>
          <w:szCs w:val="32"/>
        </w:rPr>
        <w:t>四是</w:t>
      </w:r>
      <w:r>
        <w:rPr>
          <w:rFonts w:hint="eastAsia" w:ascii="仿宋" w:hAnsi="仿宋" w:eastAsia="仿宋"/>
          <w:sz w:val="32"/>
          <w:szCs w:val="32"/>
        </w:rPr>
        <w:t>全面抓好班子和队伍建设，工作作风不断优化；倾情开展“扶贫帮困”</w:t>
      </w:r>
      <w:r>
        <w:rPr>
          <w:rFonts w:hint="eastAsia" w:ascii="仿宋" w:hAnsi="仿宋" w:eastAsia="仿宋"/>
          <w:bCs/>
          <w:sz w:val="32"/>
          <w:szCs w:val="32"/>
        </w:rPr>
        <w:t>，</w:t>
      </w:r>
      <w:r>
        <w:rPr>
          <w:rFonts w:hint="eastAsia" w:ascii="仿宋" w:hAnsi="仿宋" w:eastAsia="仿宋"/>
          <w:sz w:val="32"/>
          <w:szCs w:val="32"/>
        </w:rPr>
        <w:t>大力推进信息化建设。</w:t>
      </w:r>
      <w:bookmarkStart w:id="20" w:name="_Toc15377200"/>
      <w:bookmarkStart w:id="21" w:name="_Toc15396601"/>
    </w:p>
    <w:p>
      <w:pPr>
        <w:ind w:firstLine="572" w:firstLineChars="181"/>
        <w:rPr>
          <w:rStyle w:val="20"/>
          <w:rFonts w:ascii="仿宋" w:hAnsi="仿宋" w:eastAsia="仿宋"/>
          <w:b w:val="0"/>
          <w:bCs w:val="0"/>
        </w:rPr>
      </w:pPr>
      <w:r>
        <w:rPr>
          <w:rFonts w:hint="eastAsia" w:ascii="黑体" w:eastAsia="黑体"/>
          <w:b/>
          <w:color w:val="000000"/>
          <w:sz w:val="32"/>
          <w:szCs w:val="32"/>
        </w:rPr>
        <w:t>二、</w:t>
      </w:r>
      <w:r>
        <w:rPr>
          <w:rFonts w:hint="eastAsia" w:ascii="黑体" w:hAnsi="黑体" w:eastAsia="黑体"/>
          <w:b/>
          <w:color w:val="000000"/>
          <w:sz w:val="32"/>
          <w:szCs w:val="32"/>
        </w:rPr>
        <w:t>机</w:t>
      </w:r>
      <w:r>
        <w:rPr>
          <w:rStyle w:val="20"/>
          <w:rFonts w:hint="eastAsia" w:ascii="黑体" w:hAnsi="黑体" w:eastAsia="黑体"/>
        </w:rPr>
        <w:t>构设置</w:t>
      </w:r>
      <w:bookmarkEnd w:id="20"/>
      <w:bookmarkEnd w:id="21"/>
    </w:p>
    <w:p>
      <w:pPr>
        <w:ind w:firstLine="790" w:firstLineChars="250"/>
        <w:rPr>
          <w:rFonts w:ascii="仿宋" w:hAnsi="仿宋" w:eastAsia="仿宋"/>
          <w:sz w:val="32"/>
          <w:szCs w:val="32"/>
        </w:rPr>
      </w:pPr>
      <w:r>
        <w:rPr>
          <w:rFonts w:hint="eastAsia" w:ascii="仿宋" w:hAnsi="仿宋" w:eastAsia="仿宋"/>
          <w:sz w:val="32"/>
          <w:szCs w:val="32"/>
        </w:rPr>
        <w:t>遂宁市司法局下属二级单位0个，其中行政单位0个，参照公务员法管理的事业单位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5"/>
        <w:adjustRightInd w:val="0"/>
        <w:snapToGrid w:val="0"/>
        <w:spacing w:before="173"/>
        <w:ind w:firstLine="664" w:firstLineChars="210"/>
        <w:rPr>
          <w:rFonts w:ascii="仿宋" w:hAnsi="仿宋" w:eastAsia="仿宋"/>
          <w:color w:val="000000"/>
          <w:sz w:val="32"/>
          <w:szCs w:val="32"/>
        </w:rPr>
      </w:pPr>
      <w:r>
        <w:rPr>
          <w:rFonts w:hint="eastAsia" w:ascii="仿宋" w:hAnsi="仿宋" w:eastAsia="仿宋"/>
          <w:color w:val="000000"/>
          <w:sz w:val="32"/>
          <w:szCs w:val="32"/>
        </w:rPr>
        <w:t>无纳入市司法局</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w:t>
      </w:r>
    </w:p>
    <w:p>
      <w:pPr>
        <w:pStyle w:val="5"/>
        <w:adjustRightInd w:val="0"/>
        <w:snapToGrid w:val="0"/>
        <w:spacing w:before="173"/>
        <w:ind w:firstLine="664" w:firstLineChars="210"/>
        <w:rPr>
          <w:rFonts w:ascii="仿宋" w:hAnsi="仿宋" w:eastAsia="仿宋"/>
          <w:color w:val="000000"/>
          <w:sz w:val="32"/>
          <w:szCs w:val="32"/>
        </w:rPr>
      </w:pPr>
    </w:p>
    <w:p>
      <w:pPr>
        <w:pStyle w:val="5"/>
        <w:adjustRightInd w:val="0"/>
        <w:snapToGrid w:val="0"/>
        <w:spacing w:before="173"/>
        <w:ind w:firstLine="664" w:firstLineChars="210"/>
        <w:rPr>
          <w:rFonts w:ascii="仿宋" w:hAnsi="仿宋" w:eastAsia="仿宋"/>
          <w:color w:val="000000"/>
          <w:sz w:val="32"/>
          <w:szCs w:val="32"/>
        </w:rPr>
      </w:pPr>
    </w:p>
    <w:p>
      <w:pPr>
        <w:pStyle w:val="5"/>
        <w:adjustRightInd w:val="0"/>
        <w:snapToGrid w:val="0"/>
        <w:spacing w:before="173"/>
        <w:ind w:firstLine="664" w:firstLineChars="210"/>
        <w:rPr>
          <w:rFonts w:ascii="仿宋" w:hAnsi="仿宋" w:eastAsia="仿宋"/>
          <w:color w:val="000000"/>
          <w:sz w:val="32"/>
          <w:szCs w:val="32"/>
        </w:rPr>
      </w:pPr>
    </w:p>
    <w:p>
      <w:pPr>
        <w:pStyle w:val="5"/>
        <w:adjustRightInd w:val="0"/>
        <w:snapToGrid w:val="0"/>
        <w:spacing w:before="173"/>
        <w:ind w:firstLine="664" w:firstLineChars="210"/>
        <w:rPr>
          <w:rFonts w:ascii="仿宋" w:hAnsi="仿宋" w:eastAsia="仿宋"/>
          <w:color w:val="000000"/>
          <w:sz w:val="32"/>
          <w:szCs w:val="32"/>
        </w:rPr>
      </w:pPr>
    </w:p>
    <w:p>
      <w:pPr>
        <w:pStyle w:val="5"/>
        <w:adjustRightInd w:val="0"/>
        <w:snapToGrid w:val="0"/>
        <w:spacing w:before="173"/>
        <w:rPr>
          <w:rFonts w:ascii="仿宋" w:hAnsi="仿宋" w:eastAsia="仿宋"/>
          <w:color w:val="000000"/>
          <w:sz w:val="32"/>
          <w:szCs w:val="32"/>
        </w:rPr>
      </w:pPr>
    </w:p>
    <w:p>
      <w:pPr>
        <w:pStyle w:val="2"/>
        <w:spacing w:line="240" w:lineRule="auto"/>
        <w:ind w:right="440"/>
        <w:jc w:val="right"/>
        <w:rPr>
          <w:rStyle w:val="19"/>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19"/>
          <w:rFonts w:ascii="黑体" w:hAnsi="黑体" w:eastAsia="黑体"/>
          <w:b w:val="0"/>
          <w:bCs w:val="0"/>
        </w:rPr>
        <w:t>2018</w:t>
      </w:r>
      <w:r>
        <w:rPr>
          <w:rStyle w:val="19"/>
          <w:rFonts w:hint="eastAsia" w:ascii="黑体" w:hAnsi="黑体" w:eastAsia="黑体"/>
          <w:b w:val="0"/>
          <w:bCs w:val="0"/>
        </w:rPr>
        <w:t>年度部门决算情况说明</w:t>
      </w:r>
      <w:bookmarkEnd w:id="22"/>
      <w:bookmarkEnd w:id="23"/>
    </w:p>
    <w:p/>
    <w:p>
      <w:pPr>
        <w:pStyle w:val="29"/>
        <w:numPr>
          <w:ilvl w:val="0"/>
          <w:numId w:val="1"/>
        </w:numPr>
        <w:ind w:firstLineChars="0"/>
        <w:outlineLvl w:val="1"/>
        <w:rPr>
          <w:rStyle w:val="20"/>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24"/>
      <w:bookmarkEnd w:id="25"/>
    </w:p>
    <w:p>
      <w:pPr>
        <w:snapToGrid w:val="0"/>
        <w:ind w:firstLine="632" w:firstLineChars="200"/>
        <w:rPr>
          <w:rFonts w:ascii="仿宋_GB2312" w:hAnsi="宋体" w:eastAsia="仿宋_GB2312"/>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年度收、支总计2066.09万元。与</w:t>
      </w:r>
      <w:r>
        <w:rPr>
          <w:rFonts w:ascii="仿宋" w:hAnsi="仿宋" w:eastAsia="仿宋"/>
          <w:color w:val="000000"/>
          <w:sz w:val="32"/>
          <w:szCs w:val="32"/>
        </w:rPr>
        <w:t>2017</w:t>
      </w:r>
      <w:r>
        <w:rPr>
          <w:rFonts w:hint="eastAsia" w:ascii="仿宋" w:hAnsi="仿宋" w:eastAsia="仿宋"/>
          <w:color w:val="000000"/>
          <w:sz w:val="32"/>
          <w:szCs w:val="32"/>
        </w:rPr>
        <w:t xml:space="preserve">年相比，收、支总计各增加339.57万元，上升16.44 </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宋体" w:eastAsia="仿宋_GB2312"/>
          <w:sz w:val="32"/>
          <w:szCs w:val="32"/>
        </w:rPr>
        <w:t>人员津补贴标准比去年提高，社保、医保经费增加以及</w:t>
      </w:r>
      <w:r>
        <w:rPr>
          <w:rFonts w:hint="eastAsia" w:ascii="仿宋_GB2312" w:eastAsia="仿宋_GB2312"/>
          <w:color w:val="000000"/>
          <w:sz w:val="32"/>
          <w:szCs w:val="32"/>
        </w:rPr>
        <w:t>工作范围和工作职能的增加</w:t>
      </w:r>
      <w:r>
        <w:rPr>
          <w:rFonts w:hint="eastAsia" w:ascii="仿宋_GB2312" w:hAnsi="宋体" w:eastAsia="仿宋_GB2312"/>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r>
        <w:rPr>
          <w:rFonts w:hint="eastAsia" w:ascii="仿宋_GB2312" w:eastAsia="仿宋_GB2312"/>
          <w:color w:val="000000"/>
          <w:sz w:val="32"/>
          <w:szCs w:val="32"/>
        </w:rPr>
        <w:drawing>
          <wp:inline distT="0" distB="0" distL="0" distR="0">
            <wp:extent cx="5591175" cy="3000375"/>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9"/>
        <w:numPr>
          <w:ilvl w:val="0"/>
          <w:numId w:val="1"/>
        </w:numPr>
        <w:ind w:firstLineChars="0"/>
        <w:outlineLvl w:val="1"/>
        <w:rPr>
          <w:rStyle w:val="20"/>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0"/>
          <w:rFonts w:hint="eastAsia" w:ascii="黑体" w:hAnsi="黑体" w:eastAsia="黑体"/>
          <w:b w:val="0"/>
        </w:rPr>
        <w:t>入决算情况说明</w:t>
      </w:r>
      <w:bookmarkEnd w:id="26"/>
      <w:bookmarkEnd w:id="27"/>
    </w:p>
    <w:p>
      <w:pPr>
        <w:ind w:firstLine="632"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年本年收入合计1739.62万元，其中：一般公共预算财政拨款收入1441.44万元，占82.86</w:t>
      </w:r>
      <w:r>
        <w:rPr>
          <w:rFonts w:ascii="仿宋" w:hAnsi="仿宋" w:eastAsia="仿宋"/>
          <w:color w:val="000000"/>
          <w:sz w:val="32"/>
          <w:szCs w:val="32"/>
        </w:rPr>
        <w:t>%</w:t>
      </w:r>
      <w:r>
        <w:rPr>
          <w:rFonts w:hint="eastAsia" w:ascii="仿宋" w:hAnsi="仿宋" w:eastAsia="仿宋"/>
          <w:color w:val="000000"/>
          <w:sz w:val="32"/>
          <w:szCs w:val="32"/>
        </w:rPr>
        <w:t>；其他收入298.18万元，占17.14</w:t>
      </w:r>
      <w:r>
        <w:rPr>
          <w:rFonts w:ascii="仿宋" w:hAnsi="仿宋" w:eastAsia="仿宋"/>
          <w:color w:val="000000"/>
          <w:sz w:val="32"/>
          <w:szCs w:val="32"/>
        </w:rPr>
        <w:t>%</w:t>
      </w:r>
      <w:r>
        <w:rPr>
          <w:rFonts w:hint="eastAsia" w:ascii="仿宋" w:hAnsi="仿宋" w:eastAsia="仿宋"/>
          <w:color w:val="000000"/>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ind w:firstLine="632" w:firstLineChars="200"/>
        <w:rPr>
          <w:rFonts w:ascii="仿宋_GB2312" w:eastAsia="仿宋_GB2312"/>
          <w:color w:val="FF0000"/>
          <w:sz w:val="32"/>
          <w:szCs w:val="32"/>
        </w:rPr>
      </w:pPr>
    </w:p>
    <w:p>
      <w:pPr>
        <w:ind w:firstLine="632" w:firstLineChars="200"/>
        <w:rPr>
          <w:rFonts w:ascii="仿宋_GB2312" w:eastAsia="仿宋_GB2312"/>
          <w:color w:val="FF0000"/>
          <w:sz w:val="32"/>
          <w:szCs w:val="32"/>
        </w:rPr>
      </w:pPr>
    </w:p>
    <w:p>
      <w:pPr>
        <w:ind w:firstLine="632"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0" distR="0">
            <wp:extent cx="4791075" cy="209550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9"/>
        <w:numPr>
          <w:ilvl w:val="0"/>
          <w:numId w:val="1"/>
        </w:numPr>
        <w:ind w:firstLineChars="0"/>
        <w:outlineLvl w:val="1"/>
        <w:rPr>
          <w:rStyle w:val="20"/>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0"/>
          <w:rFonts w:hint="eastAsia" w:ascii="黑体" w:hAnsi="黑体" w:eastAsia="黑体"/>
          <w:b w:val="0"/>
        </w:rPr>
        <w:t>出决算情况说明</w:t>
      </w:r>
      <w:bookmarkEnd w:id="28"/>
      <w:bookmarkEnd w:id="29"/>
    </w:p>
    <w:p>
      <w:pPr>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年本年支出合计1657.29万元，其中：基本支出1410.27万元，占85.09</w:t>
      </w:r>
      <w:r>
        <w:rPr>
          <w:rFonts w:ascii="仿宋" w:hAnsi="仿宋" w:eastAsia="仿宋"/>
          <w:color w:val="000000"/>
          <w:sz w:val="32"/>
          <w:szCs w:val="32"/>
        </w:rPr>
        <w:t>%</w:t>
      </w:r>
      <w:r>
        <w:rPr>
          <w:rFonts w:hint="eastAsia" w:ascii="仿宋" w:hAnsi="仿宋" w:eastAsia="仿宋"/>
          <w:color w:val="000000"/>
          <w:sz w:val="32"/>
          <w:szCs w:val="32"/>
        </w:rPr>
        <w:t>；项目支出247.02万元，占14.91</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ind w:firstLine="632"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848225" cy="234315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32" w:firstLineChars="200"/>
        <w:outlineLvl w:val="1"/>
        <w:rPr>
          <w:rStyle w:val="20"/>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30"/>
      <w:bookmarkEnd w:id="31"/>
    </w:p>
    <w:p>
      <w:pPr>
        <w:spacing w:line="600" w:lineRule="exact"/>
        <w:ind w:firstLine="640"/>
        <w:rPr>
          <w:rFonts w:eastAsia="仿宋_GB2312"/>
          <w:color w:val="000000"/>
          <w:sz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年财政拨款收、支总计1767.92万元。与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年相比，财政拨款收、支总计各增加58.15万元，增长3.29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eastAsia="仿宋_GB2312"/>
          <w:color w:val="000000"/>
          <w:sz w:val="32"/>
        </w:rPr>
        <w:t>单位职工的工资福利支出、对个人和家庭的补助支出增加。</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ind w:firstLine="640"/>
        <w:rPr>
          <w:rFonts w:ascii="仿宋" w:hAnsi="仿宋" w:eastAsia="仿宋"/>
          <w:b/>
          <w:color w:val="00B050"/>
          <w:sz w:val="32"/>
          <w:szCs w:val="32"/>
        </w:rPr>
      </w:pPr>
      <w:r>
        <w:rPr>
          <w:rFonts w:hint="eastAsia" w:ascii="仿宋" w:hAnsi="仿宋" w:eastAsia="仿宋"/>
          <w:b/>
          <w:color w:val="00B050"/>
          <w:sz w:val="32"/>
          <w:szCs w:val="32"/>
        </w:rPr>
        <w:drawing>
          <wp:inline distT="0" distB="0" distL="0" distR="0">
            <wp:extent cx="4791075" cy="2419350"/>
            <wp:effectExtent l="19050" t="0" r="952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32" w:firstLineChars="200"/>
        <w:outlineLvl w:val="1"/>
        <w:rPr>
          <w:rStyle w:val="20"/>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32"/>
      <w:bookmarkEnd w:id="33"/>
    </w:p>
    <w:p>
      <w:pPr>
        <w:ind w:firstLine="63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632"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年一般公共预算财政拨款支出1359.11万元，占本年支出合计的82.01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年相比，一般公共预算财政拨款增加5.93万元，增长0.04</w:t>
      </w:r>
      <w:r>
        <w:rPr>
          <w:rFonts w:ascii="仿宋" w:hAnsi="仿宋" w:eastAsia="仿宋"/>
          <w:color w:val="000000"/>
          <w:sz w:val="32"/>
          <w:szCs w:val="32"/>
        </w:rPr>
        <w:t>%</w:t>
      </w:r>
      <w:r>
        <w:rPr>
          <w:rFonts w:hint="eastAsia" w:ascii="仿宋" w:hAnsi="仿宋" w:eastAsia="仿宋"/>
          <w:color w:val="000000"/>
          <w:sz w:val="32"/>
          <w:szCs w:val="32"/>
        </w:rPr>
        <w:t>。主要变动原因是两年财政拨款支出决算变动不大，财政经费预算开支把控严格。</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5153025" cy="2514600"/>
            <wp:effectExtent l="1905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3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年一般公共预算财政拨款支出1359.11万元，主要用于以下方面</w:t>
      </w:r>
      <w:r>
        <w:rPr>
          <w:rFonts w:ascii="仿宋" w:hAnsi="仿宋" w:eastAsia="仿宋"/>
          <w:color w:val="000000"/>
          <w:sz w:val="32"/>
          <w:szCs w:val="32"/>
        </w:rPr>
        <w:t>:</w:t>
      </w:r>
      <w:r>
        <w:rPr>
          <w:rFonts w:hint="eastAsia" w:ascii="仿宋" w:hAnsi="仿宋" w:eastAsia="仿宋"/>
          <w:color w:val="000000"/>
          <w:sz w:val="32"/>
          <w:szCs w:val="32"/>
        </w:rPr>
        <w:t>公共安全（类）支出1146.78万元，占84.38</w:t>
      </w:r>
      <w:r>
        <w:rPr>
          <w:rFonts w:ascii="仿宋" w:hAnsi="仿宋" w:eastAsia="仿宋"/>
          <w:color w:val="000000"/>
          <w:sz w:val="32"/>
          <w:szCs w:val="32"/>
        </w:rPr>
        <w:t>%</w:t>
      </w:r>
      <w:r>
        <w:rPr>
          <w:rFonts w:hint="eastAsia" w:ascii="仿宋" w:hAnsi="仿宋" w:eastAsia="仿宋"/>
          <w:color w:val="000000"/>
          <w:sz w:val="32"/>
          <w:szCs w:val="32"/>
        </w:rPr>
        <w:t>；社会保障和就业（类）支出100.58万元，占7.41</w:t>
      </w:r>
      <w:r>
        <w:rPr>
          <w:rFonts w:ascii="仿宋" w:hAnsi="仿宋" w:eastAsia="仿宋"/>
          <w:color w:val="000000"/>
          <w:sz w:val="32"/>
          <w:szCs w:val="32"/>
        </w:rPr>
        <w:t>%</w:t>
      </w:r>
      <w:r>
        <w:rPr>
          <w:rFonts w:hint="eastAsia" w:ascii="仿宋" w:hAnsi="仿宋" w:eastAsia="仿宋"/>
          <w:color w:val="000000"/>
          <w:sz w:val="32"/>
          <w:szCs w:val="32"/>
        </w:rPr>
        <w:t>；医疗卫生与计划生育支出37.66万元，占2.78</w:t>
      </w:r>
      <w:r>
        <w:rPr>
          <w:rFonts w:ascii="仿宋" w:hAnsi="仿宋" w:eastAsia="仿宋"/>
          <w:color w:val="000000"/>
          <w:sz w:val="32"/>
          <w:szCs w:val="32"/>
        </w:rPr>
        <w:t>%</w:t>
      </w:r>
      <w:r>
        <w:rPr>
          <w:rFonts w:hint="eastAsia" w:ascii="仿宋" w:hAnsi="仿宋" w:eastAsia="仿宋"/>
          <w:color w:val="000000"/>
          <w:sz w:val="32"/>
          <w:szCs w:val="32"/>
        </w:rPr>
        <w:t>；住房保障支出74.09万元，占5.45</w:t>
      </w:r>
      <w:r>
        <w:rPr>
          <w:rFonts w:ascii="仿宋" w:hAnsi="仿宋" w:eastAsia="仿宋"/>
          <w:color w:val="000000"/>
          <w:sz w:val="32"/>
          <w:szCs w:val="32"/>
        </w:rPr>
        <w:t>%</w:t>
      </w:r>
      <w:r>
        <w:rPr>
          <w:rFonts w:hint="eastAsia" w:ascii="仿宋" w:hAnsi="仿宋" w:eastAsia="仿宋"/>
          <w:color w:val="000000"/>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5257800" cy="247650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3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ind w:firstLine="632"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年一般公共预算支出决算数为1359.11</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ind w:firstLine="632" w:firstLineChars="200"/>
        <w:rPr>
          <w:rFonts w:ascii="仿宋" w:hAnsi="仿宋" w:eastAsia="仿宋"/>
          <w:b/>
          <w:color w:val="000000"/>
          <w:sz w:val="32"/>
          <w:szCs w:val="32"/>
        </w:rPr>
      </w:pPr>
      <w:r>
        <w:rPr>
          <w:rStyle w:val="16"/>
          <w:rFonts w:ascii="仿宋" w:hAnsi="仿宋" w:eastAsia="仿宋"/>
          <w:bCs/>
          <w:color w:val="000000"/>
          <w:sz w:val="32"/>
          <w:szCs w:val="32"/>
        </w:rPr>
        <w:t>1.</w:t>
      </w:r>
      <w:r>
        <w:rPr>
          <w:rFonts w:hint="eastAsia" w:ascii="黑体" w:hAnsi="黑体" w:eastAsia="黑体"/>
          <w:b/>
          <w:sz w:val="32"/>
        </w:rPr>
        <w:t xml:space="preserve"> </w:t>
      </w:r>
      <w:r>
        <w:rPr>
          <w:rFonts w:hint="eastAsia" w:ascii="仿宋_GB2312" w:hAnsi="黑体" w:eastAsia="仿宋_GB2312"/>
          <w:b/>
          <w:sz w:val="32"/>
        </w:rPr>
        <w:t>公共安全（类）司法（款）行政运行（项）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color w:val="000000"/>
          <w:sz w:val="32"/>
          <w:szCs w:val="32"/>
        </w:rPr>
        <w:t>912.65</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ind w:firstLine="632" w:firstLineChars="200"/>
        <w:rPr>
          <w:rFonts w:ascii="仿宋" w:hAnsi="仿宋" w:eastAsia="仿宋"/>
          <w:b/>
          <w:color w:val="000000"/>
          <w:sz w:val="32"/>
          <w:szCs w:val="32"/>
        </w:rPr>
      </w:pPr>
      <w:r>
        <w:rPr>
          <w:rStyle w:val="16"/>
          <w:rFonts w:ascii="仿宋" w:hAnsi="仿宋" w:eastAsia="仿宋"/>
          <w:bCs/>
          <w:color w:val="000000"/>
          <w:sz w:val="32"/>
          <w:szCs w:val="32"/>
        </w:rPr>
        <w:t>2.</w:t>
      </w:r>
      <w:r>
        <w:rPr>
          <w:rFonts w:ascii="仿宋_GB2312" w:hAnsi="Calibri" w:eastAsia="仿宋_GB2312"/>
          <w:b/>
          <w:color w:val="000000"/>
          <w:sz w:val="32"/>
        </w:rPr>
        <w:t xml:space="preserve"> </w:t>
      </w:r>
      <w:r>
        <w:rPr>
          <w:rFonts w:hint="eastAsia" w:ascii="仿宋_GB2312" w:hAnsi="黑体" w:eastAsia="仿宋_GB2312"/>
          <w:b/>
          <w:sz w:val="32"/>
        </w:rPr>
        <w:t>公共安全（类）司法（款）一般行政管理事务（项）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支出决算为117.51万元，完成预算100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ind w:firstLine="632" w:firstLineChars="200"/>
        <w:rPr>
          <w:rFonts w:ascii="仿宋" w:hAnsi="仿宋" w:eastAsia="仿宋"/>
          <w:b/>
          <w:color w:val="000000"/>
          <w:sz w:val="32"/>
          <w:szCs w:val="32"/>
        </w:rPr>
      </w:pPr>
      <w:r>
        <w:rPr>
          <w:rStyle w:val="16"/>
          <w:rFonts w:ascii="仿宋" w:hAnsi="仿宋" w:eastAsia="仿宋"/>
          <w:bCs/>
          <w:color w:val="000000"/>
          <w:sz w:val="32"/>
          <w:szCs w:val="32"/>
        </w:rPr>
        <w:t>3.</w:t>
      </w:r>
      <w:r>
        <w:rPr>
          <w:rFonts w:hint="eastAsia" w:ascii="仿宋_GB2312" w:hAnsi="黑体" w:eastAsia="仿宋_GB2312"/>
          <w:b/>
          <w:sz w:val="32"/>
        </w:rPr>
        <w:t xml:space="preserve"> 公共安全（类）司法（款）事业运行（项）</w:t>
      </w:r>
      <w:r>
        <w:rPr>
          <w:rFonts w:ascii="仿宋_GB2312" w:hAnsi="Calibri" w:eastAsia="仿宋_GB2312"/>
          <w:b/>
          <w:color w:val="000000"/>
          <w:sz w:val="32"/>
        </w:rPr>
        <w:t>:</w:t>
      </w:r>
      <w:r>
        <w:rPr>
          <w:rStyle w:val="16"/>
          <w:rFonts w:hint="eastAsia" w:ascii="仿宋" w:hAnsi="仿宋" w:eastAsia="仿宋"/>
          <w:b w:val="0"/>
          <w:bCs/>
          <w:color w:val="000000"/>
          <w:sz w:val="32"/>
          <w:szCs w:val="32"/>
        </w:rPr>
        <w:t>支出决算为25.86万元，完成预算100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ind w:firstLine="632" w:firstLineChars="200"/>
        <w:rPr>
          <w:rStyle w:val="16"/>
          <w:rFonts w:ascii="仿宋" w:hAnsi="仿宋" w:eastAsia="仿宋"/>
          <w:b w:val="0"/>
          <w:bCs/>
          <w:color w:val="000000"/>
          <w:sz w:val="32"/>
          <w:szCs w:val="32"/>
        </w:rPr>
      </w:pPr>
      <w:r>
        <w:rPr>
          <w:rStyle w:val="16"/>
          <w:rFonts w:ascii="仿宋" w:hAnsi="仿宋" w:eastAsia="仿宋"/>
          <w:bCs/>
          <w:color w:val="000000"/>
          <w:sz w:val="32"/>
          <w:szCs w:val="32"/>
        </w:rPr>
        <w:t>4.</w:t>
      </w:r>
      <w:r>
        <w:rPr>
          <w:rFonts w:hint="eastAsia" w:ascii="仿宋_GB2312" w:hAnsi="黑体" w:eastAsia="仿宋_GB2312"/>
          <w:b/>
          <w:sz w:val="32"/>
        </w:rPr>
        <w:t xml:space="preserve"> 公共安全（类）司法（款）基层司法业务（项）</w:t>
      </w:r>
      <w:r>
        <w:rPr>
          <w:rFonts w:ascii="仿宋_GB2312" w:hAnsi="Calibri" w:eastAsia="仿宋_GB2312"/>
          <w:b/>
          <w:color w:val="000000"/>
          <w:sz w:val="32"/>
        </w:rPr>
        <w:t>:</w:t>
      </w:r>
      <w:r>
        <w:rPr>
          <w:rStyle w:val="16"/>
          <w:rFonts w:hint="eastAsia" w:ascii="仿宋" w:hAnsi="仿宋" w:eastAsia="仿宋"/>
          <w:b w:val="0"/>
          <w:bCs/>
          <w:color w:val="000000"/>
          <w:sz w:val="32"/>
          <w:szCs w:val="32"/>
        </w:rPr>
        <w:t>支出决算为11.21万元，完成预算100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ind w:firstLine="640"/>
        <w:rPr>
          <w:rFonts w:ascii="仿宋_GB2312" w:hAnsi="Calibri" w:eastAsia="仿宋_GB2312"/>
          <w:color w:val="000000"/>
          <w:sz w:val="32"/>
        </w:rPr>
      </w:pPr>
      <w:r>
        <w:rPr>
          <w:rFonts w:ascii="仿宋_GB2312" w:hAnsi="Calibri" w:eastAsia="仿宋_GB2312"/>
          <w:b/>
          <w:color w:val="000000"/>
          <w:sz w:val="32"/>
        </w:rPr>
        <w:t>5.</w:t>
      </w:r>
      <w:r>
        <w:rPr>
          <w:rFonts w:hint="eastAsia" w:ascii="仿宋_GB2312" w:hAnsi="黑体" w:eastAsia="仿宋_GB2312"/>
          <w:b/>
          <w:sz w:val="32"/>
        </w:rPr>
        <w:t xml:space="preserve"> 公共安全（类）司法（款）普法宣传（项）</w:t>
      </w:r>
      <w:r>
        <w:rPr>
          <w:rFonts w:ascii="仿宋_GB2312" w:hAnsi="Calibri" w:eastAsia="仿宋_GB2312"/>
          <w:b/>
          <w:color w:val="000000"/>
          <w:sz w:val="32"/>
        </w:rPr>
        <w:t>:</w:t>
      </w:r>
      <w:r>
        <w:rPr>
          <w:rFonts w:ascii="仿宋_GB2312" w:hAnsi="Calibri" w:eastAsia="仿宋_GB2312"/>
          <w:color w:val="000000"/>
          <w:sz w:val="32"/>
        </w:rPr>
        <w:t xml:space="preserve"> 支出决算为</w:t>
      </w:r>
      <w:r>
        <w:rPr>
          <w:rFonts w:hint="eastAsia" w:ascii="仿宋_GB2312" w:hAnsi="Calibri" w:eastAsia="仿宋_GB2312"/>
          <w:color w:val="000000"/>
          <w:sz w:val="32"/>
        </w:rPr>
        <w:t>43.55</w:t>
      </w:r>
      <w:r>
        <w:rPr>
          <w:rFonts w:ascii="仿宋_GB2312" w:hAnsi="Calibri" w:eastAsia="仿宋_GB2312"/>
          <w:color w:val="000000"/>
          <w:sz w:val="32"/>
        </w:rPr>
        <w:t>万元，完成预算100%。</w:t>
      </w:r>
    </w:p>
    <w:p>
      <w:pPr>
        <w:ind w:firstLine="640"/>
        <w:rPr>
          <w:rFonts w:ascii="仿宋_GB2312" w:hAnsi="Calibri" w:eastAsia="仿宋_GB2312"/>
          <w:b/>
          <w:color w:val="000000"/>
          <w:sz w:val="32"/>
        </w:rPr>
      </w:pPr>
      <w:r>
        <w:rPr>
          <w:rFonts w:hint="eastAsia" w:ascii="仿宋_GB2312" w:hAnsi="Calibri" w:eastAsia="仿宋_GB2312"/>
          <w:b/>
          <w:color w:val="000000"/>
          <w:sz w:val="32"/>
        </w:rPr>
        <w:t>6</w:t>
      </w:r>
      <w:r>
        <w:rPr>
          <w:rFonts w:ascii="仿宋_GB2312" w:hAnsi="Calibri" w:eastAsia="仿宋_GB2312"/>
          <w:b/>
          <w:color w:val="000000"/>
          <w:sz w:val="32"/>
        </w:rPr>
        <w:t>.</w:t>
      </w:r>
      <w:r>
        <w:rPr>
          <w:rFonts w:hint="eastAsia" w:ascii="仿宋_GB2312" w:hAnsi="黑体" w:eastAsia="仿宋_GB2312"/>
          <w:b/>
          <w:sz w:val="32"/>
        </w:rPr>
        <w:t xml:space="preserve"> 公共安全（类）司法（款）法律援助（项）</w:t>
      </w:r>
      <w:r>
        <w:rPr>
          <w:rFonts w:ascii="仿宋_GB2312" w:hAnsi="Calibri" w:eastAsia="仿宋_GB2312"/>
          <w:b/>
          <w:color w:val="000000"/>
          <w:sz w:val="32"/>
        </w:rPr>
        <w:t>:</w:t>
      </w:r>
      <w:r>
        <w:rPr>
          <w:rFonts w:ascii="仿宋_GB2312" w:hAnsi="Calibri" w:eastAsia="仿宋_GB2312"/>
          <w:color w:val="000000"/>
          <w:sz w:val="32"/>
        </w:rPr>
        <w:t xml:space="preserve"> 支出决算为</w:t>
      </w:r>
      <w:r>
        <w:rPr>
          <w:rFonts w:hint="eastAsia" w:ascii="仿宋_GB2312" w:hAnsi="Calibri" w:eastAsia="仿宋_GB2312"/>
          <w:color w:val="000000"/>
          <w:sz w:val="32"/>
        </w:rPr>
        <w:t>15</w:t>
      </w:r>
      <w:r>
        <w:rPr>
          <w:rFonts w:ascii="仿宋_GB2312" w:hAnsi="Calibri" w:eastAsia="仿宋_GB2312"/>
          <w:color w:val="000000"/>
          <w:sz w:val="32"/>
        </w:rPr>
        <w:t>万元，完成预算100%。</w:t>
      </w:r>
    </w:p>
    <w:p>
      <w:pPr>
        <w:ind w:firstLine="640"/>
        <w:rPr>
          <w:rFonts w:ascii="仿宋_GB2312" w:hAnsi="Calibri" w:eastAsia="仿宋_GB2312"/>
          <w:color w:val="000000"/>
          <w:sz w:val="32"/>
        </w:rPr>
      </w:pPr>
      <w:r>
        <w:rPr>
          <w:rFonts w:ascii="仿宋_GB2312" w:hAnsi="Calibri" w:eastAsia="仿宋_GB2312"/>
          <w:b/>
          <w:color w:val="000000"/>
          <w:sz w:val="32"/>
        </w:rPr>
        <w:t>6.</w:t>
      </w:r>
      <w:r>
        <w:rPr>
          <w:rFonts w:hint="eastAsia" w:ascii="仿宋_GB2312" w:hAnsi="黑体" w:eastAsia="仿宋_GB2312"/>
          <w:b/>
          <w:sz w:val="32"/>
        </w:rPr>
        <w:t xml:space="preserve"> 公共安全（类）司法（款）司法统一考试（项）</w:t>
      </w:r>
      <w:r>
        <w:rPr>
          <w:rFonts w:ascii="仿宋_GB2312" w:hAnsi="Calibri" w:eastAsia="仿宋_GB2312"/>
          <w:b/>
          <w:color w:val="000000"/>
          <w:sz w:val="32"/>
        </w:rPr>
        <w:t>:</w:t>
      </w:r>
      <w:r>
        <w:rPr>
          <w:rFonts w:ascii="仿宋_GB2312" w:hAnsi="Calibri" w:eastAsia="仿宋_GB2312"/>
          <w:color w:val="000000"/>
          <w:sz w:val="32"/>
        </w:rPr>
        <w:t>支出决算为</w:t>
      </w:r>
      <w:r>
        <w:rPr>
          <w:rFonts w:hint="eastAsia" w:ascii="仿宋_GB2312" w:hAnsi="Calibri" w:eastAsia="仿宋_GB2312"/>
          <w:color w:val="000000"/>
          <w:sz w:val="32"/>
        </w:rPr>
        <w:t>0.50</w:t>
      </w:r>
      <w:r>
        <w:rPr>
          <w:rFonts w:ascii="仿宋_GB2312" w:hAnsi="Calibri" w:eastAsia="仿宋_GB2312"/>
          <w:color w:val="000000"/>
          <w:sz w:val="32"/>
        </w:rPr>
        <w:t>万元，完成预算100%。</w:t>
      </w:r>
    </w:p>
    <w:p>
      <w:pPr>
        <w:ind w:firstLine="640"/>
        <w:rPr>
          <w:rFonts w:ascii="仿宋_GB2312" w:eastAsia="仿宋_GB2312"/>
          <w:color w:val="000000"/>
          <w:sz w:val="32"/>
        </w:rPr>
      </w:pPr>
      <w:r>
        <w:rPr>
          <w:rFonts w:hint="eastAsia" w:ascii="仿宋_GB2312" w:hAnsi="黑体" w:eastAsia="仿宋_GB2312"/>
          <w:b/>
          <w:sz w:val="32"/>
        </w:rPr>
        <w:t>7.公共安全（类）司法（款）司法鉴定（项）：</w:t>
      </w:r>
      <w:r>
        <w:rPr>
          <w:rFonts w:hint="eastAsia" w:ascii="仿宋_GB2312" w:hAnsi="黑体" w:eastAsia="仿宋_GB2312"/>
          <w:sz w:val="32"/>
        </w:rPr>
        <w:t>支出</w:t>
      </w:r>
      <w:r>
        <w:rPr>
          <w:rFonts w:hint="eastAsia" w:ascii="仿宋_GB2312" w:eastAsia="仿宋_GB2312"/>
          <w:color w:val="000000"/>
          <w:sz w:val="32"/>
        </w:rPr>
        <w:t>决算数为0.50万元，完成预算100%。</w:t>
      </w:r>
    </w:p>
    <w:p>
      <w:pPr>
        <w:ind w:firstLine="640"/>
        <w:rPr>
          <w:rFonts w:ascii="仿宋_GB2312" w:eastAsia="仿宋_GB2312"/>
          <w:color w:val="000000"/>
          <w:sz w:val="32"/>
        </w:rPr>
      </w:pPr>
      <w:r>
        <w:rPr>
          <w:rFonts w:hint="eastAsia" w:ascii="仿宋_GB2312" w:hAnsi="黑体" w:eastAsia="仿宋_GB2312"/>
          <w:b/>
          <w:sz w:val="32"/>
        </w:rPr>
        <w:t>8.公共安全（类）司法（款）其他司法支出（项）：</w:t>
      </w:r>
      <w:r>
        <w:rPr>
          <w:rFonts w:hint="eastAsia" w:ascii="仿宋_GB2312" w:hAnsi="黑体" w:eastAsia="仿宋_GB2312"/>
          <w:sz w:val="32"/>
        </w:rPr>
        <w:t>支出</w:t>
      </w:r>
      <w:r>
        <w:rPr>
          <w:rFonts w:hint="eastAsia" w:ascii="仿宋_GB2312" w:eastAsia="仿宋_GB2312"/>
          <w:color w:val="000000"/>
          <w:sz w:val="32"/>
        </w:rPr>
        <w:t>决算数为19.50万元，完成预算100%。</w:t>
      </w:r>
    </w:p>
    <w:p>
      <w:pPr>
        <w:ind w:firstLine="640"/>
        <w:rPr>
          <w:rFonts w:ascii="仿宋_GB2312" w:eastAsia="仿宋_GB2312"/>
          <w:color w:val="000000"/>
          <w:sz w:val="32"/>
        </w:rPr>
      </w:pPr>
      <w:r>
        <w:rPr>
          <w:rFonts w:hint="eastAsia" w:ascii="仿宋_GB2312" w:hAnsi="黑体" w:eastAsia="仿宋_GB2312"/>
          <w:b/>
          <w:sz w:val="32"/>
        </w:rPr>
        <w:t>9. 社会保障和就业（类）行政事业单位离退休（款）未归口管理的行政单位离退休（项）：</w:t>
      </w:r>
      <w:r>
        <w:rPr>
          <w:rFonts w:hint="eastAsia" w:ascii="仿宋_GB2312" w:hAnsi="黑体" w:eastAsia="仿宋_GB2312"/>
          <w:sz w:val="32"/>
        </w:rPr>
        <w:t>支出</w:t>
      </w:r>
      <w:r>
        <w:rPr>
          <w:rFonts w:hint="eastAsia" w:ascii="仿宋_GB2312" w:eastAsia="仿宋_GB2312"/>
          <w:color w:val="000000"/>
          <w:sz w:val="32"/>
        </w:rPr>
        <w:t>决算数为11.64万元，完成预算100%。</w:t>
      </w:r>
    </w:p>
    <w:p>
      <w:pPr>
        <w:ind w:firstLine="640"/>
        <w:rPr>
          <w:rFonts w:ascii="仿宋_GB2312" w:eastAsia="仿宋_GB2312"/>
          <w:color w:val="000000"/>
          <w:sz w:val="32"/>
        </w:rPr>
      </w:pPr>
      <w:r>
        <w:rPr>
          <w:rFonts w:hint="eastAsia" w:ascii="仿宋_GB2312" w:hAnsi="黑体" w:eastAsia="仿宋_GB2312"/>
          <w:b/>
          <w:sz w:val="32"/>
        </w:rPr>
        <w:t>10. 社会保障和就业（类）行政事业单位离退休（款）机关事业单位基本养老保险缴费支出（项）：</w:t>
      </w:r>
      <w:r>
        <w:rPr>
          <w:rFonts w:hint="eastAsia" w:ascii="仿宋_GB2312" w:hAnsi="黑体" w:eastAsia="仿宋_GB2312"/>
          <w:sz w:val="32"/>
        </w:rPr>
        <w:t>支出</w:t>
      </w:r>
      <w:r>
        <w:rPr>
          <w:rFonts w:hint="eastAsia" w:ascii="仿宋_GB2312" w:eastAsia="仿宋_GB2312"/>
          <w:color w:val="000000"/>
          <w:sz w:val="32"/>
        </w:rPr>
        <w:t>决算数为73.24万元，完成预算100%。</w:t>
      </w:r>
    </w:p>
    <w:p>
      <w:pPr>
        <w:ind w:firstLine="640"/>
        <w:rPr>
          <w:rFonts w:ascii="仿宋_GB2312" w:eastAsia="仿宋_GB2312"/>
          <w:color w:val="000000"/>
          <w:sz w:val="32"/>
        </w:rPr>
      </w:pPr>
      <w:r>
        <w:rPr>
          <w:rFonts w:hint="eastAsia" w:ascii="仿宋_GB2312" w:hAnsi="黑体" w:eastAsia="仿宋_GB2312"/>
          <w:b/>
          <w:sz w:val="32"/>
        </w:rPr>
        <w:t>11. 社会保障和就业（类）抚恤（款）死亡抚恤（项）：</w:t>
      </w:r>
      <w:r>
        <w:rPr>
          <w:rFonts w:hint="eastAsia" w:ascii="仿宋_GB2312" w:hAnsi="黑体" w:eastAsia="仿宋_GB2312"/>
          <w:sz w:val="32"/>
        </w:rPr>
        <w:t>支出</w:t>
      </w:r>
      <w:r>
        <w:rPr>
          <w:rFonts w:hint="eastAsia" w:ascii="仿宋_GB2312" w:eastAsia="仿宋_GB2312"/>
          <w:color w:val="000000"/>
          <w:sz w:val="32"/>
        </w:rPr>
        <w:t>决算数为15.70万元，完成预算100%。</w:t>
      </w:r>
    </w:p>
    <w:p>
      <w:pPr>
        <w:ind w:firstLine="640"/>
        <w:rPr>
          <w:rFonts w:ascii="仿宋_GB2312" w:eastAsia="仿宋_GB2312"/>
          <w:color w:val="000000"/>
          <w:sz w:val="32"/>
        </w:rPr>
      </w:pPr>
      <w:r>
        <w:rPr>
          <w:rFonts w:hint="eastAsia" w:ascii="仿宋_GB2312" w:hAnsi="黑体" w:eastAsia="仿宋_GB2312"/>
          <w:b/>
          <w:sz w:val="32"/>
        </w:rPr>
        <w:t>12. 医疗卫生与计划生育（类）行政事业单位医疗（款）行政单位医疗（项）：</w:t>
      </w:r>
      <w:r>
        <w:rPr>
          <w:rFonts w:hint="eastAsia" w:ascii="仿宋_GB2312" w:hAnsi="黑体" w:eastAsia="仿宋_GB2312"/>
          <w:sz w:val="32"/>
        </w:rPr>
        <w:t>支出</w:t>
      </w:r>
      <w:r>
        <w:rPr>
          <w:rFonts w:hint="eastAsia" w:ascii="仿宋_GB2312" w:eastAsia="仿宋_GB2312"/>
          <w:color w:val="000000"/>
          <w:sz w:val="32"/>
        </w:rPr>
        <w:t>决算数为32.99万元，完成预算100%。</w:t>
      </w:r>
    </w:p>
    <w:p>
      <w:pPr>
        <w:ind w:firstLine="640"/>
        <w:rPr>
          <w:rFonts w:ascii="仿宋_GB2312" w:eastAsia="仿宋_GB2312"/>
          <w:color w:val="000000"/>
          <w:sz w:val="32"/>
        </w:rPr>
      </w:pPr>
      <w:r>
        <w:rPr>
          <w:rFonts w:hint="eastAsia" w:ascii="仿宋_GB2312" w:hAnsi="黑体" w:eastAsia="仿宋_GB2312"/>
          <w:b/>
          <w:sz w:val="32"/>
        </w:rPr>
        <w:t>13. 医疗卫生与计划生育（类）行政事业单位医疗（款）事业单位医疗（项）：</w:t>
      </w:r>
      <w:r>
        <w:rPr>
          <w:rFonts w:hint="eastAsia" w:ascii="仿宋_GB2312" w:hAnsi="黑体" w:eastAsia="仿宋_GB2312"/>
          <w:sz w:val="32"/>
        </w:rPr>
        <w:t>支出</w:t>
      </w:r>
      <w:r>
        <w:rPr>
          <w:rFonts w:hint="eastAsia" w:ascii="仿宋_GB2312" w:eastAsia="仿宋_GB2312"/>
          <w:color w:val="000000"/>
          <w:sz w:val="32"/>
        </w:rPr>
        <w:t>决算数为1.08万元，完成预算100%。</w:t>
      </w:r>
    </w:p>
    <w:p>
      <w:pPr>
        <w:ind w:firstLine="640"/>
        <w:rPr>
          <w:rFonts w:ascii="仿宋_GB2312" w:eastAsia="仿宋_GB2312"/>
          <w:color w:val="000000"/>
          <w:sz w:val="32"/>
        </w:rPr>
      </w:pPr>
      <w:r>
        <w:rPr>
          <w:rFonts w:hint="eastAsia" w:ascii="仿宋_GB2312" w:hAnsi="黑体" w:eastAsia="仿宋_GB2312"/>
          <w:b/>
          <w:sz w:val="32"/>
        </w:rPr>
        <w:t>14. 医疗救助（类）其他医疗救助支出（款）其他医疗救助支出（项）：</w:t>
      </w:r>
      <w:r>
        <w:rPr>
          <w:rFonts w:hint="eastAsia" w:ascii="仿宋_GB2312" w:hAnsi="黑体" w:eastAsia="仿宋_GB2312"/>
          <w:sz w:val="32"/>
        </w:rPr>
        <w:t>支出</w:t>
      </w:r>
      <w:r>
        <w:rPr>
          <w:rFonts w:hint="eastAsia" w:ascii="仿宋_GB2312" w:eastAsia="仿宋_GB2312"/>
          <w:color w:val="000000"/>
          <w:sz w:val="32"/>
        </w:rPr>
        <w:t>决算数为3.59万元，完成预算100%。</w:t>
      </w:r>
    </w:p>
    <w:p>
      <w:pPr>
        <w:ind w:firstLine="632" w:firstLineChars="200"/>
        <w:rPr>
          <w:rFonts w:eastAsia="仿宋_GB2312"/>
          <w:color w:val="000000"/>
          <w:sz w:val="32"/>
        </w:rPr>
      </w:pPr>
      <w:r>
        <w:rPr>
          <w:rFonts w:hint="eastAsia" w:ascii="仿宋_GB2312" w:hAnsi="黑体" w:eastAsia="仿宋_GB2312"/>
          <w:b/>
          <w:sz w:val="32"/>
        </w:rPr>
        <w:t>15. 住房保障（类）住房改革支出（款）住房公积金（项）：</w:t>
      </w:r>
      <w:r>
        <w:rPr>
          <w:rFonts w:hint="eastAsia" w:ascii="仿宋_GB2312" w:hAnsi="黑体" w:eastAsia="仿宋_GB2312"/>
          <w:sz w:val="32"/>
        </w:rPr>
        <w:t>支出</w:t>
      </w:r>
      <w:r>
        <w:rPr>
          <w:rFonts w:hint="eastAsia" w:ascii="仿宋_GB2312" w:eastAsia="仿宋_GB2312"/>
          <w:color w:val="000000"/>
          <w:sz w:val="32"/>
        </w:rPr>
        <w:t>决算数为74.09万元，完成预算100%。</w:t>
      </w:r>
    </w:p>
    <w:p>
      <w:pPr>
        <w:tabs>
          <w:tab w:val="right" w:pos="8306"/>
        </w:tabs>
        <w:ind w:firstLine="640"/>
        <w:outlineLvl w:val="1"/>
        <w:rPr>
          <w:rStyle w:val="20"/>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40"/>
      <w:bookmarkEnd w:id="41"/>
      <w:r>
        <w:rPr>
          <w:rStyle w:val="20"/>
          <w:rFonts w:ascii="黑体" w:hAnsi="黑体" w:eastAsia="黑体"/>
          <w:b w:val="0"/>
        </w:rPr>
        <w:tab/>
      </w:r>
    </w:p>
    <w:p>
      <w:pPr>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年一般公共预算财政拨款基本支出1359.11万元，其中：</w:t>
      </w:r>
    </w:p>
    <w:p>
      <w:pPr>
        <w:ind w:firstLine="645"/>
        <w:rPr>
          <w:rFonts w:ascii="仿宋" w:hAnsi="仿宋" w:eastAsia="仿宋"/>
          <w:color w:val="000000"/>
          <w:sz w:val="32"/>
          <w:szCs w:val="32"/>
        </w:rPr>
      </w:pPr>
      <w:r>
        <w:rPr>
          <w:rFonts w:hint="eastAsia" w:ascii="仿宋" w:hAnsi="仿宋" w:eastAsia="仿宋"/>
          <w:color w:val="000000"/>
          <w:sz w:val="32"/>
          <w:szCs w:val="32"/>
        </w:rPr>
        <w:t>人员经费1008.21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139.04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ind w:firstLine="640"/>
        <w:outlineLvl w:val="1"/>
        <w:rPr>
          <w:rStyle w:val="20"/>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2"/>
      <w:bookmarkEnd w:id="43"/>
    </w:p>
    <w:p>
      <w:pPr>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_GB2312" w:hAnsi="Calibri" w:eastAsia="仿宋_GB2312"/>
          <w:color w:val="000000"/>
          <w:sz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年“三公”经费财政拨款支出决算为14.85万元，完成预算72.69</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hAnsi="Calibri" w:eastAsia="仿宋_GB2312"/>
          <w:color w:val="000000"/>
          <w:sz w:val="32"/>
        </w:rPr>
        <w:t>公务接待费减少</w:t>
      </w:r>
      <w:r>
        <w:rPr>
          <w:rFonts w:hint="eastAsia" w:ascii="仿宋" w:hAnsi="仿宋" w:eastAsia="仿宋"/>
          <w:color w:val="000000"/>
          <w:sz w:val="32"/>
          <w:szCs w:val="32"/>
        </w:rPr>
        <w:t>。</w:t>
      </w:r>
    </w:p>
    <w:p>
      <w:pPr>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；公务用车购置及运行维护费支出决算12.75万元，占85.86</w:t>
      </w:r>
      <w:r>
        <w:rPr>
          <w:rFonts w:ascii="仿宋" w:hAnsi="仿宋" w:eastAsia="仿宋"/>
          <w:color w:val="000000"/>
          <w:sz w:val="32"/>
          <w:szCs w:val="32"/>
        </w:rPr>
        <w:t>%</w:t>
      </w:r>
      <w:r>
        <w:rPr>
          <w:rFonts w:hint="eastAsia" w:ascii="仿宋" w:hAnsi="仿宋" w:eastAsia="仿宋"/>
          <w:color w:val="000000"/>
          <w:sz w:val="32"/>
          <w:szCs w:val="32"/>
        </w:rPr>
        <w:t>；公务接待费支出决算2.1万元，占14.14</w:t>
      </w:r>
      <w:r>
        <w:rPr>
          <w:rFonts w:ascii="仿宋" w:hAnsi="仿宋" w:eastAsia="仿宋"/>
          <w:color w:val="000000"/>
          <w:sz w:val="32"/>
          <w:szCs w:val="32"/>
        </w:rPr>
        <w:t>%</w:t>
      </w:r>
      <w:r>
        <w:rPr>
          <w:rFonts w:hint="eastAsia" w:ascii="仿宋" w:hAnsi="仿宋" w:eastAsia="仿宋"/>
          <w:color w:val="000000"/>
          <w:sz w:val="32"/>
          <w:szCs w:val="32"/>
        </w:rPr>
        <w:t>。具体情况如下：</w:t>
      </w:r>
    </w:p>
    <w:p>
      <w:pPr>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ind w:firstLine="64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4848225" cy="2343150"/>
            <wp:effectExtent l="19050" t="0" r="9525"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w:t>
      </w:r>
      <w:r>
        <w:rPr>
          <w:rFonts w:ascii="仿宋_GB2312" w:eastAsia="仿宋_GB2312"/>
          <w:color w:val="000000"/>
          <w:sz w:val="32"/>
          <w:szCs w:val="32"/>
        </w:rPr>
        <w:t>2017</w:t>
      </w:r>
      <w:r>
        <w:rPr>
          <w:rFonts w:hint="eastAsia" w:ascii="仿宋_GB2312" w:eastAsia="仿宋_GB2312"/>
          <w:color w:val="000000"/>
          <w:sz w:val="32"/>
          <w:szCs w:val="32"/>
        </w:rPr>
        <w:t>年持平。</w:t>
      </w:r>
    </w:p>
    <w:p>
      <w:pPr>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12.75万元</w:t>
      </w:r>
      <w:r>
        <w:rPr>
          <w:rFonts w:ascii="仿宋_GB2312" w:eastAsia="仿宋_GB2312"/>
          <w:color w:val="000000"/>
          <w:sz w:val="32"/>
          <w:szCs w:val="32"/>
        </w:rPr>
        <w:t>,</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ascii="仿宋_GB2312" w:eastAsia="仿宋_GB2312"/>
          <w:color w:val="000000"/>
          <w:sz w:val="32"/>
          <w:szCs w:val="32"/>
        </w:rPr>
        <w:t>2017</w:t>
      </w:r>
      <w:r>
        <w:rPr>
          <w:rFonts w:hint="eastAsia" w:ascii="仿宋_GB2312" w:eastAsia="仿宋_GB2312"/>
          <w:color w:val="000000"/>
          <w:sz w:val="32"/>
          <w:szCs w:val="32"/>
        </w:rPr>
        <w:t>年持平。</w:t>
      </w:r>
    </w:p>
    <w:p>
      <w:pPr>
        <w:ind w:firstLine="632"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月底，单位共有公务用车3辆，其中：轿车3辆、越野车0辆、载客汽车0辆。</w:t>
      </w:r>
    </w:p>
    <w:p>
      <w:pPr>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color w:val="000000"/>
          <w:sz w:val="32"/>
          <w:szCs w:val="32"/>
        </w:rPr>
        <w:t>12.75万元。主要用于</w:t>
      </w:r>
      <w:r>
        <w:rPr>
          <w:rFonts w:ascii="仿宋" w:hAnsi="仿宋" w:eastAsia="仿宋"/>
          <w:sz w:val="32"/>
        </w:rPr>
        <w:t>保障</w:t>
      </w:r>
      <w:r>
        <w:rPr>
          <w:rFonts w:hint="eastAsia" w:ascii="仿宋" w:hAnsi="仿宋" w:eastAsia="仿宋"/>
          <w:sz w:val="32"/>
        </w:rPr>
        <w:t>局机关执行公务活动、开展基层工作调研、普法宣传工作、实施司法监督检查、开展“八项实事”</w:t>
      </w:r>
      <w:r>
        <w:rPr>
          <w:rFonts w:ascii="仿宋" w:hAnsi="仿宋" w:eastAsia="仿宋"/>
          <w:sz w:val="32"/>
        </w:rPr>
        <w:t>等工作</w:t>
      </w:r>
      <w:r>
        <w:rPr>
          <w:rFonts w:hint="eastAsia" w:ascii="仿宋" w:hAnsi="仿宋" w:eastAsia="仿宋"/>
          <w:color w:val="000000"/>
          <w:sz w:val="32"/>
          <w:szCs w:val="32"/>
        </w:rPr>
        <w:t>等所需的公务用车燃料费、维修费、过路过桥费、保险费等支出。</w:t>
      </w:r>
    </w:p>
    <w:p>
      <w:pPr>
        <w:spacing w:line="600" w:lineRule="exact"/>
        <w:ind w:firstLine="640"/>
        <w:rPr>
          <w:rFonts w:ascii="仿宋" w:hAnsi="仿宋" w:eastAsia="仿宋"/>
          <w:b/>
          <w:color w:val="000000"/>
          <w:sz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2.1万元，</w:t>
      </w:r>
      <w:r>
        <w:rPr>
          <w:rStyle w:val="16"/>
          <w:rFonts w:hint="eastAsia" w:ascii="仿宋" w:hAnsi="仿宋" w:eastAsia="仿宋"/>
          <w:b w:val="0"/>
          <w:bCs/>
          <w:color w:val="000000"/>
          <w:sz w:val="32"/>
          <w:szCs w:val="32"/>
        </w:rPr>
        <w:t>完成预算27.34</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2017</w:t>
      </w:r>
      <w:r>
        <w:rPr>
          <w:rFonts w:hint="eastAsia" w:ascii="仿宋" w:hAnsi="仿宋" w:eastAsia="仿宋"/>
          <w:color w:val="000000"/>
          <w:sz w:val="32"/>
          <w:szCs w:val="32"/>
        </w:rPr>
        <w:t>年减少1.88万元，下降47.24</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rPr>
        <w:t>认真贯彻落实中央关于厉行节约的要求，加强内部财务管理，严格执行公务接待制度，控制接待标准和次数</w:t>
      </w:r>
      <w:r>
        <w:rPr>
          <w:rFonts w:hint="eastAsia" w:ascii="仿宋" w:hAnsi="仿宋" w:eastAsia="仿宋"/>
          <w:color w:val="000000"/>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主要用于执行公务、开展业务活动开支的交通费、住宿费、用餐费等。国内公务接待17批次，260人次（不包括陪同人员），共计支出2.1万元，具体内容包括：成都市金牛区司法局赴遂宁市司法局考察学习接待费1057元，省厅和达州市司法局到遂宁检查省级规范化司法所验收交叉检查接待费980元，全省人大内务司法工作会接待费1340元，资阳市司法局赴遂宁市司法局考察学习社区矫正工作接待费2028元，四川联合调研组到遂调研涉法涉诉信访工作接待费2790元，“七五”普法骨干培训接待费1600元等。其中：</w:t>
      </w:r>
    </w:p>
    <w:p>
      <w:pPr>
        <w:ind w:firstLine="632"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6" w:name="_Toc15396610"/>
      <w:bookmarkStart w:id="47" w:name="_Toc15377218"/>
    </w:p>
    <w:p>
      <w:pPr>
        <w:ind w:firstLine="640"/>
        <w:outlineLvl w:val="1"/>
        <w:rPr>
          <w:rStyle w:val="20"/>
          <w:rFonts w:ascii="黑体" w:hAnsi="黑体" w:eastAsia="黑体"/>
        </w:rPr>
      </w:pPr>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46"/>
      <w:bookmarkEnd w:id="47"/>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年政府性基金预算拨款支出0万元。</w:t>
      </w:r>
    </w:p>
    <w:p>
      <w:pPr>
        <w:numPr>
          <w:ilvl w:val="0"/>
          <w:numId w:val="2"/>
        </w:numPr>
        <w:ind w:firstLine="640"/>
        <w:outlineLvl w:val="1"/>
        <w:rPr>
          <w:rStyle w:val="20"/>
          <w:rFonts w:ascii="黑体" w:hAnsi="黑体" w:eastAsia="黑体"/>
          <w:b w:val="0"/>
        </w:rPr>
      </w:pPr>
      <w:bookmarkStart w:id="48" w:name="_Toc15377219"/>
      <w:bookmarkStart w:id="49" w:name="_Toc15396611"/>
      <w:r>
        <w:rPr>
          <w:rStyle w:val="20"/>
          <w:rFonts w:hint="eastAsia" w:ascii="黑体" w:hAnsi="黑体" w:eastAsia="黑体"/>
          <w:b w:val="0"/>
        </w:rPr>
        <w:t>国有资本经营预算支出决算情况说明</w:t>
      </w:r>
      <w:bookmarkEnd w:id="48"/>
      <w:bookmarkEnd w:id="49"/>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年国有资本经营预算拨款支出0万元。</w:t>
      </w:r>
    </w:p>
    <w:p>
      <w:pPr>
        <w:pStyle w:val="29"/>
        <w:numPr>
          <w:ilvl w:val="0"/>
          <w:numId w:val="3"/>
        </w:numPr>
        <w:ind w:firstLineChars="0"/>
        <w:rPr>
          <w:rStyle w:val="20"/>
          <w:rFonts w:ascii="黑体" w:hAnsi="黑体" w:eastAsia="黑体"/>
          <w:b w:val="0"/>
        </w:rPr>
      </w:pPr>
      <w:r>
        <w:rPr>
          <w:rStyle w:val="20"/>
          <w:rFonts w:hint="eastAsia" w:ascii="黑体" w:hAnsi="黑体" w:eastAsia="黑体"/>
          <w:b w:val="0"/>
        </w:rPr>
        <w:t>预算绩效情况说明</w:t>
      </w:r>
    </w:p>
    <w:p>
      <w:pPr>
        <w:numPr>
          <w:ilvl w:val="0"/>
          <w:numId w:val="4"/>
        </w:numPr>
        <w:ind w:firstLine="632"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单位）在年初预算编制阶段，组织对预算项目开展了预算事前绩效评估，对8个项目编制了绩效目标，预算执行过程中，选取1个项目开展绩效监控，年终执行完毕后，对1个项目开展了绩效目标完成情况梳理填报。</w:t>
      </w:r>
    </w:p>
    <w:p>
      <w:pPr>
        <w:ind w:firstLine="632" w:firstLineChars="200"/>
        <w:rPr>
          <w:rFonts w:ascii="仿宋" w:hAnsi="仿宋" w:eastAsia="仿宋"/>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2018</w:t>
      </w:r>
      <w:r>
        <w:rPr>
          <w:rFonts w:hint="eastAsia" w:ascii="仿宋" w:hAnsi="仿宋" w:eastAsia="仿宋" w:cs="仿宋_GB2312"/>
          <w:sz w:val="32"/>
          <w:szCs w:val="32"/>
        </w:rPr>
        <w:t>年部门整体支出开展绩效自评，从评价情况来看</w:t>
      </w:r>
      <w:r>
        <w:rPr>
          <w:rFonts w:hint="eastAsia" w:ascii="仿宋" w:hAnsi="仿宋" w:eastAsia="仿宋"/>
          <w:sz w:val="32"/>
          <w:szCs w:val="32"/>
        </w:rPr>
        <w:t>从项目完成、项目效益、满意度等方面设置了绩效指标，综合反映项目预期完成的数量、成本、时效、质量，均预期达到了良好</w:t>
      </w:r>
      <w:r>
        <w:rPr>
          <w:rFonts w:hint="eastAsia" w:ascii="仿宋" w:hAnsi="仿宋" w:eastAsia="仿宋"/>
          <w:sz w:val="32"/>
          <w:szCs w:val="32"/>
          <w:lang w:eastAsia="zh-CN"/>
        </w:rPr>
        <w:t>的</w:t>
      </w:r>
      <w:r>
        <w:rPr>
          <w:rFonts w:hint="eastAsia" w:ascii="仿宋" w:hAnsi="仿宋" w:eastAsia="仿宋"/>
          <w:sz w:val="32"/>
          <w:szCs w:val="32"/>
        </w:rPr>
        <w:t>社会效益、可持续影响，服务对象满意度高</w:t>
      </w:r>
      <w:r>
        <w:rPr>
          <w:rFonts w:hint="eastAsia" w:ascii="仿宋" w:hAnsi="仿宋" w:eastAsia="仿宋" w:cs="仿宋_GB2312"/>
          <w:sz w:val="32"/>
          <w:szCs w:val="32"/>
        </w:rPr>
        <w:t>。本部门还自行组织了1个项目绩效评价，从评价情况来看</w:t>
      </w:r>
      <w:r>
        <w:rPr>
          <w:rFonts w:hint="eastAsia" w:ascii="仿宋" w:hAnsi="仿宋" w:eastAsia="仿宋"/>
          <w:sz w:val="32"/>
          <w:szCs w:val="32"/>
        </w:rPr>
        <w:t>栏目紧紧围绕市委中心工作，服务于经济社会发展，不断推动法治宣传教育工作创新发展，为推进依法治市、建设法治遂宁、营造良好法治环境做出了积极的贡献</w:t>
      </w:r>
      <w:r>
        <w:rPr>
          <w:rFonts w:hint="eastAsia" w:ascii="仿宋" w:hAnsi="仿宋" w:eastAsia="仿宋" w:cs="仿宋_GB2312"/>
          <w:sz w:val="32"/>
          <w:szCs w:val="32"/>
        </w:rPr>
        <w:t>。</w:t>
      </w:r>
    </w:p>
    <w:p>
      <w:pPr>
        <w:numPr>
          <w:ilvl w:val="0"/>
          <w:numId w:val="4"/>
        </w:numPr>
        <w:adjustRightInd w:val="0"/>
        <w:snapToGrid w:val="0"/>
        <w:spacing w:line="540" w:lineRule="exact"/>
        <w:ind w:firstLine="632" w:firstLineChars="200"/>
        <w:jc w:val="left"/>
        <w:rPr>
          <w:rFonts w:ascii="仿宋" w:hAnsi="仿宋" w:eastAsia="仿宋"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本部门在</w:t>
      </w:r>
      <w:r>
        <w:rPr>
          <w:rFonts w:ascii="仿宋" w:hAnsi="仿宋" w:eastAsia="仿宋" w:cs="仿宋_GB2312"/>
          <w:sz w:val="32"/>
          <w:szCs w:val="32"/>
        </w:rPr>
        <w:t>2018</w:t>
      </w:r>
      <w:r>
        <w:rPr>
          <w:rFonts w:hint="eastAsia" w:ascii="仿宋" w:hAnsi="仿宋" w:eastAsia="仿宋" w:cs="仿宋_GB2312"/>
          <w:sz w:val="32"/>
          <w:szCs w:val="32"/>
        </w:rPr>
        <w:t>年度部门决算中反映“</w:t>
      </w:r>
      <w:r>
        <w:rPr>
          <w:rFonts w:hint="eastAsia" w:ascii="仿宋" w:hAnsi="仿宋" w:eastAsia="仿宋"/>
          <w:color w:val="000000"/>
          <w:sz w:val="32"/>
          <w:szCs w:val="32"/>
          <w:shd w:val="clear" w:color="auto" w:fill="FFFFFF"/>
        </w:rPr>
        <w:t>以案说法工作经费</w:t>
      </w:r>
      <w:r>
        <w:rPr>
          <w:rFonts w:hint="eastAsia" w:ascii="仿宋" w:hAnsi="仿宋" w:eastAsia="仿宋" w:cs="仿宋_GB2312"/>
          <w:sz w:val="32"/>
          <w:szCs w:val="32"/>
        </w:rPr>
        <w:t>”项目绩效目标实际完成情况。</w:t>
      </w:r>
    </w:p>
    <w:p>
      <w:pPr>
        <w:tabs>
          <w:tab w:val="left" w:pos="312"/>
        </w:tabs>
        <w:adjustRightInd w:val="0"/>
        <w:snapToGrid w:val="0"/>
        <w:spacing w:line="540" w:lineRule="exact"/>
        <w:ind w:firstLine="632" w:firstLineChars="200"/>
        <w:jc w:val="left"/>
        <w:rPr>
          <w:rFonts w:hint="eastAsia" w:ascii="仿宋" w:hAnsi="仿宋" w:eastAsia="仿宋"/>
          <w:sz w:val="32"/>
          <w:szCs w:val="32"/>
        </w:rPr>
      </w:pPr>
      <w:r>
        <w:rPr>
          <w:rFonts w:hint="eastAsia" w:ascii="仿宋" w:hAnsi="仿宋" w:eastAsia="仿宋"/>
          <w:sz w:val="32"/>
          <w:szCs w:val="32"/>
        </w:rPr>
        <w:t>以案说法</w:t>
      </w:r>
      <w:r>
        <w:rPr>
          <w:rFonts w:hint="eastAsia" w:ascii="仿宋" w:hAnsi="仿宋" w:eastAsia="仿宋" w:cs="仿宋_GB2312"/>
          <w:sz w:val="32"/>
          <w:szCs w:val="32"/>
        </w:rPr>
        <w:t>项目绩效目标完成情况综述。项目全年预算数25万元，执行数为25万元，完成预算的100</w:t>
      </w:r>
      <w:r>
        <w:rPr>
          <w:rFonts w:ascii="仿宋" w:hAnsi="仿宋" w:eastAsia="仿宋" w:cs="仿宋_GB2312"/>
          <w:sz w:val="32"/>
          <w:szCs w:val="32"/>
        </w:rPr>
        <w:t>%</w:t>
      </w:r>
      <w:r>
        <w:rPr>
          <w:rFonts w:hint="eastAsia" w:ascii="仿宋" w:hAnsi="仿宋" w:eastAsia="仿宋" w:cs="仿宋_GB2312"/>
          <w:sz w:val="32"/>
          <w:szCs w:val="32"/>
        </w:rPr>
        <w:t>。通过项目实施，</w:t>
      </w:r>
      <w:r>
        <w:rPr>
          <w:rFonts w:hint="eastAsia" w:ascii="仿宋" w:hAnsi="仿宋" w:eastAsia="仿宋"/>
          <w:sz w:val="32"/>
          <w:szCs w:val="32"/>
        </w:rPr>
        <w:t>服务于经济社会发展，不断推动法治宣传教育工作创新发展，为推进依法治市、建设法治遂宁、营造良好法治环境做出了积极的贡献。</w:t>
      </w:r>
    </w:p>
    <w:p>
      <w:pPr>
        <w:tabs>
          <w:tab w:val="left" w:pos="312"/>
        </w:tabs>
        <w:adjustRightInd w:val="0"/>
        <w:snapToGrid w:val="0"/>
        <w:spacing w:line="540" w:lineRule="exact"/>
        <w:ind w:firstLine="632" w:firstLineChars="200"/>
        <w:jc w:val="left"/>
        <w:rPr>
          <w:rFonts w:hint="eastAsia" w:ascii="仿宋" w:hAnsi="仿宋" w:eastAsia="仿宋"/>
          <w:sz w:val="32"/>
          <w:szCs w:val="32"/>
        </w:rPr>
      </w:pPr>
    </w:p>
    <w:p>
      <w:pPr>
        <w:tabs>
          <w:tab w:val="left" w:pos="312"/>
        </w:tabs>
        <w:adjustRightInd w:val="0"/>
        <w:snapToGrid w:val="0"/>
        <w:spacing w:line="540" w:lineRule="exact"/>
        <w:ind w:firstLine="632" w:firstLineChars="200"/>
        <w:jc w:val="left"/>
        <w:rPr>
          <w:rFonts w:ascii="仿宋" w:hAnsi="仿宋" w:eastAsia="仿宋"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9"/>
              <w:widowControl/>
              <w:ind w:left="4105" w:leftChars="1310" w:hanging="1407"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《以案说法》电视节目制作费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遂宁市司法局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25万元</w:t>
            </w:r>
          </w:p>
        </w:tc>
      </w:tr>
      <w:tr>
        <w:tblPrEx>
          <w:tblCellMar>
            <w:top w:w="0" w:type="dxa"/>
            <w:left w:w="0" w:type="dxa"/>
            <w:bottom w:w="0" w:type="dxa"/>
            <w:right w:w="0" w:type="dxa"/>
          </w:tblCellMar>
        </w:tblPrEx>
        <w:trPr>
          <w:trHeight w:val="119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外购法治类电视节目10万/年（打造周一至周日法治宣传时间段）。全年共制作《以案说法》节目52期左右。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1、全年电视节目联办费用20万/年（主要用于编辑记者人力成本及设备消耗维护费用）</w:t>
            </w:r>
          </w:p>
          <w:p>
            <w:pPr>
              <w:widowControl/>
              <w:jc w:val="center"/>
              <w:textAlignment w:val="center"/>
              <w:rPr>
                <w:rFonts w:ascii="宋体" w:cs="宋体"/>
                <w:color w:val="000000"/>
                <w:sz w:val="24"/>
              </w:rPr>
            </w:pPr>
            <w:r>
              <w:rPr>
                <w:rFonts w:hint="eastAsia" w:ascii="宋体" w:cs="宋体"/>
                <w:color w:val="000000"/>
                <w:sz w:val="24"/>
              </w:rPr>
              <w:t>2、节目摄制成本10万/年（包括素材收集费用、参考资料费用、打印复印费用、车旅费、误餐费及其它杂质，平均每期节目摄制成本2000元）</w:t>
            </w:r>
          </w:p>
          <w:p>
            <w:pPr>
              <w:widowControl/>
              <w:jc w:val="center"/>
              <w:textAlignment w:val="center"/>
              <w:rPr>
                <w:rFonts w:ascii="宋体" w:cs="宋体"/>
                <w:color w:val="000000"/>
                <w:sz w:val="24"/>
              </w:rPr>
            </w:pPr>
            <w:r>
              <w:rPr>
                <w:rFonts w:hint="eastAsia" w:ascii="宋体" w:cs="宋体"/>
                <w:color w:val="000000"/>
                <w:sz w:val="24"/>
              </w:rPr>
              <w:t>3、外购法治类电视节目10万/年（打造周一至周日法治宣传时间段）。全年共制作《以案说法》节目52期左右。</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52期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52期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全市城乡全覆盖，力求办成精品栏目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全市城乡全覆盖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8000每期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弘扬法治精神，普及法律知识，扎实推进法治遂宁建设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弘扬法治精神，普及法律知识，扎实推进法治遂宁建设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bl>
    <w:p>
      <w:pPr>
        <w:rPr>
          <w:rFonts w:ascii="仿宋_GB2312" w:hAnsi="仿宋_GB2312" w:eastAsia="仿宋_GB2312" w:cs="仿宋_GB2312"/>
          <w:sz w:val="32"/>
          <w:szCs w:val="32"/>
        </w:rPr>
      </w:pPr>
    </w:p>
    <w:p>
      <w:pPr>
        <w:numPr>
          <w:ilvl w:val="0"/>
          <w:numId w:val="4"/>
        </w:numPr>
        <w:ind w:firstLine="63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2018</w:t>
      </w:r>
      <w:r>
        <w:rPr>
          <w:rFonts w:hint="eastAsia" w:ascii="仿宋" w:hAnsi="仿宋" w:eastAsia="仿宋" w:cs="仿宋_GB2312"/>
          <w:sz w:val="32"/>
          <w:szCs w:val="32"/>
        </w:rPr>
        <w:t>年部门整体支出绩效评价情况开展自评，《市司法局</w:t>
      </w:r>
      <w:r>
        <w:rPr>
          <w:rFonts w:ascii="仿宋" w:hAnsi="仿宋" w:eastAsia="仿宋" w:cs="仿宋_GB2312"/>
          <w:sz w:val="32"/>
          <w:szCs w:val="32"/>
        </w:rPr>
        <w:t>2018</w:t>
      </w:r>
      <w:r>
        <w:rPr>
          <w:rFonts w:hint="eastAsia" w:ascii="仿宋" w:hAnsi="仿宋" w:eastAsia="仿宋" w:cs="仿宋_GB2312"/>
          <w:sz w:val="32"/>
          <w:szCs w:val="32"/>
        </w:rPr>
        <w:t>年部门整体支出绩效评价报告》见附件。</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本部门自行组织对</w:t>
      </w:r>
      <w:r>
        <w:rPr>
          <w:rFonts w:hint="eastAsia" w:ascii="仿宋" w:hAnsi="仿宋" w:eastAsia="仿宋"/>
          <w:color w:val="000000"/>
          <w:sz w:val="32"/>
          <w:szCs w:val="32"/>
          <w:shd w:val="clear" w:color="auto" w:fill="FFFFFF"/>
        </w:rPr>
        <w:t>以案说法工作</w:t>
      </w:r>
      <w:r>
        <w:rPr>
          <w:rFonts w:hint="eastAsia" w:ascii="仿宋" w:hAnsi="仿宋" w:eastAsia="仿宋" w:cs="仿宋_GB2312"/>
          <w:sz w:val="32"/>
          <w:szCs w:val="32"/>
        </w:rPr>
        <w:t>项目开展了绩效评价，《</w:t>
      </w:r>
      <w:r>
        <w:rPr>
          <w:rFonts w:hint="eastAsia" w:ascii="仿宋" w:hAnsi="仿宋" w:eastAsia="仿宋"/>
          <w:color w:val="000000"/>
          <w:sz w:val="32"/>
          <w:szCs w:val="32"/>
          <w:shd w:val="clear" w:color="auto" w:fill="FFFFFF"/>
        </w:rPr>
        <w:t>以案说法工作</w:t>
      </w:r>
      <w:r>
        <w:rPr>
          <w:rFonts w:hint="eastAsia" w:ascii="仿宋" w:hAnsi="仿宋" w:eastAsia="仿宋" w:cs="仿宋_GB2312"/>
          <w:sz w:val="32"/>
          <w:szCs w:val="32"/>
        </w:rPr>
        <w:t>项目</w:t>
      </w:r>
      <w:r>
        <w:rPr>
          <w:rFonts w:ascii="仿宋" w:hAnsi="仿宋" w:eastAsia="仿宋" w:cs="仿宋_GB2312"/>
          <w:sz w:val="32"/>
          <w:szCs w:val="32"/>
        </w:rPr>
        <w:t>2018</w:t>
      </w:r>
      <w:r>
        <w:rPr>
          <w:rFonts w:hint="eastAsia" w:ascii="仿宋" w:hAnsi="仿宋" w:eastAsia="仿宋" w:cs="仿宋_GB2312"/>
          <w:sz w:val="32"/>
          <w:szCs w:val="32"/>
        </w:rPr>
        <w:t>年绩效评价报告》见附件。</w:t>
      </w:r>
    </w:p>
    <w:p>
      <w:pPr>
        <w:ind w:firstLine="790" w:firstLineChars="250"/>
        <w:outlineLvl w:val="1"/>
        <w:rPr>
          <w:rStyle w:val="20"/>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0"/>
          <w:rFonts w:hint="eastAsia" w:ascii="黑体" w:hAnsi="黑体" w:eastAsia="黑体"/>
        </w:rPr>
        <w:t>一、</w:t>
      </w:r>
      <w:r>
        <w:rPr>
          <w:rStyle w:val="20"/>
          <w:rFonts w:hint="eastAsia" w:ascii="黑体" w:hAnsi="黑体" w:eastAsia="黑体"/>
          <w:b w:val="0"/>
        </w:rPr>
        <w:t>其他重要事项的情况说明</w:t>
      </w:r>
      <w:bookmarkEnd w:id="50"/>
      <w:bookmarkEnd w:id="51"/>
    </w:p>
    <w:p>
      <w:pPr>
        <w:ind w:firstLine="63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ind w:firstLine="632"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年，市司法局机关运行经费支出139.04万元，比</w:t>
      </w:r>
      <w:r>
        <w:rPr>
          <w:rFonts w:ascii="仿宋" w:hAnsi="仿宋" w:eastAsia="仿宋"/>
          <w:color w:val="000000"/>
          <w:sz w:val="32"/>
          <w:szCs w:val="32"/>
        </w:rPr>
        <w:t>2017</w:t>
      </w:r>
      <w:r>
        <w:rPr>
          <w:rFonts w:hint="eastAsia" w:ascii="仿宋" w:hAnsi="仿宋" w:eastAsia="仿宋"/>
          <w:color w:val="000000"/>
          <w:sz w:val="32"/>
          <w:szCs w:val="32"/>
        </w:rPr>
        <w:t>年增加2.63万元，增长1.89</w:t>
      </w:r>
      <w:r>
        <w:rPr>
          <w:rFonts w:ascii="仿宋" w:hAnsi="仿宋" w:eastAsia="仿宋"/>
          <w:color w:val="000000"/>
          <w:sz w:val="32"/>
          <w:szCs w:val="32"/>
        </w:rPr>
        <w:t>%</w:t>
      </w:r>
      <w:r>
        <w:rPr>
          <w:rFonts w:hint="eastAsia" w:ascii="仿宋" w:hAnsi="仿宋" w:eastAsia="仿宋"/>
          <w:color w:val="000000"/>
          <w:sz w:val="32"/>
          <w:szCs w:val="32"/>
        </w:rPr>
        <w:t>。主要原因是机关运行经费正常范围内波动。</w:t>
      </w:r>
    </w:p>
    <w:p>
      <w:pPr>
        <w:autoSpaceDE w:val="0"/>
        <w:autoSpaceDN w:val="0"/>
        <w:adjustRightInd w:val="0"/>
        <w:ind w:firstLine="63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ind w:firstLine="632"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市司法局政府采购支出总额46.34万元，其中：政府采购货物支出46.34万元、政府采购工程支出0万元、政府采购服务支出0万元。主要用于日常办公桌椅、办公电脑等采购。授予中小企业合同金额46.34万元，占政府采购支出总额的100</w:t>
      </w:r>
      <w:r>
        <w:rPr>
          <w:rFonts w:ascii="仿宋" w:hAnsi="仿宋" w:eastAsia="仿宋"/>
          <w:color w:val="000000"/>
          <w:sz w:val="32"/>
          <w:szCs w:val="32"/>
        </w:rPr>
        <w:t>%</w:t>
      </w:r>
      <w:r>
        <w:rPr>
          <w:rFonts w:hint="eastAsia" w:ascii="仿宋" w:hAnsi="仿宋" w:eastAsia="仿宋"/>
          <w:color w:val="000000"/>
          <w:sz w:val="32"/>
          <w:szCs w:val="32"/>
        </w:rPr>
        <w:t>，其中：授予小微企业合同金额46.34万元，占政府采购支出总额的100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ind w:firstLine="63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ind w:firstLine="632" w:firstLineChars="200"/>
        <w:jc w:val="left"/>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日，市司法局共有车辆3辆，其中：部级领导干部用车0辆、一般公务用车0辆、一般执法执勤用车3辆、特种专业技术用车0辆、其他用车0辆.单价</w:t>
      </w:r>
      <w:r>
        <w:rPr>
          <w:rFonts w:ascii="仿宋" w:hAnsi="仿宋" w:eastAsia="仿宋"/>
          <w:color w:val="000000"/>
          <w:sz w:val="32"/>
          <w:szCs w:val="32"/>
        </w:rPr>
        <w:t>50</w:t>
      </w:r>
      <w:r>
        <w:rPr>
          <w:rFonts w:hint="eastAsia" w:ascii="仿宋" w:hAnsi="仿宋" w:eastAsia="仿宋"/>
          <w:color w:val="000000"/>
          <w:sz w:val="32"/>
          <w:szCs w:val="32"/>
        </w:rPr>
        <w:t>万元以上通用设备1台（套），单价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ind w:firstLine="654" w:firstLineChars="150"/>
        <w:jc w:val="center"/>
        <w:outlineLvl w:val="0"/>
        <w:rPr>
          <w:rStyle w:val="19"/>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9"/>
          <w:rFonts w:hint="eastAsia" w:ascii="黑体" w:hAnsi="黑体" w:eastAsia="黑体"/>
          <w:b w:val="0"/>
        </w:rPr>
        <w:t>词解释</w:t>
      </w:r>
      <w:bookmarkEnd w:id="55"/>
      <w:bookmarkEnd w:id="56"/>
    </w:p>
    <w:p>
      <w:pPr>
        <w:jc w:val="left"/>
        <w:rPr>
          <w:rFonts w:ascii="宋体"/>
          <w:b/>
          <w:color w:val="000000"/>
          <w:sz w:val="44"/>
          <w:szCs w:val="44"/>
        </w:rPr>
      </w:pPr>
    </w:p>
    <w:p>
      <w:pPr>
        <w:pStyle w:val="28"/>
        <w:ind w:firstLine="63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ind w:firstLine="63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ind w:firstLine="63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ind w:firstLine="632"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其他收入：指单位取得的除上述收入以外的各项收入。主要是银行利息收入等。</w:t>
      </w:r>
    </w:p>
    <w:p>
      <w:pPr>
        <w:pStyle w:val="28"/>
        <w:ind w:firstLine="632"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8"/>
        <w:ind w:firstLine="632"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8"/>
        <w:ind w:firstLine="632"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ind w:firstLine="632"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rPr>
          <w:rFonts w:ascii="仿宋_GB2312" w:hAnsi="微软雅黑" w:eastAsia="仿宋_GB2312"/>
          <w:sz w:val="32"/>
        </w:rPr>
      </w:pPr>
      <w:r>
        <w:rPr>
          <w:rFonts w:ascii="仿宋_GB2312" w:eastAsia="仿宋_GB2312"/>
          <w:color w:val="000000"/>
          <w:sz w:val="32"/>
          <w:szCs w:val="32"/>
        </w:rPr>
        <w:t>9.</w:t>
      </w:r>
      <w:r>
        <w:rPr>
          <w:rFonts w:hint="eastAsia" w:ascii="仿宋_GB2312" w:hAnsi="微软雅黑" w:eastAsia="仿宋_GB2312"/>
          <w:sz w:val="32"/>
        </w:rPr>
        <w:t xml:space="preserve"> 公共安全（类）司法（款）行政运行（项）：是指局机关及参公管理事业单位正常运转的基本支出，包括基本工资、津贴补贴等人员经费以及办公费、印刷费、水电费等日常公用经费。</w:t>
      </w:r>
    </w:p>
    <w:p>
      <w:pPr>
        <w:ind w:firstLine="640"/>
        <w:rPr>
          <w:rFonts w:ascii="仿宋_GB2312" w:hAnsi="微软雅黑" w:eastAsia="仿宋_GB2312"/>
          <w:sz w:val="32"/>
        </w:rPr>
      </w:pPr>
      <w:r>
        <w:rPr>
          <w:rFonts w:hint="eastAsia" w:ascii="仿宋_GB2312" w:hAnsi="微软雅黑" w:eastAsia="仿宋_GB2312"/>
          <w:color w:val="000000"/>
          <w:sz w:val="32"/>
        </w:rPr>
        <w:t>10.</w:t>
      </w:r>
      <w:r>
        <w:rPr>
          <w:rFonts w:hint="eastAsia" w:ascii="仿宋_GB2312" w:hAnsi="微软雅黑" w:eastAsia="仿宋_GB2312"/>
          <w:sz w:val="32"/>
        </w:rPr>
        <w:t xml:space="preserve"> 公共安全（类）司法（款）一般行政管理事务（项）：是指行政单位未单独设置顶级科目的其他项目支出，包括办案业务支出、办案人员出差补助、住宿、案件补贴、装备的采购支出等。</w:t>
      </w:r>
    </w:p>
    <w:p>
      <w:pPr>
        <w:ind w:firstLine="640"/>
        <w:rPr>
          <w:rFonts w:ascii="仿宋_GB2312" w:hAnsi="微软雅黑" w:eastAsia="仿宋_GB2312"/>
          <w:sz w:val="32"/>
        </w:rPr>
      </w:pPr>
      <w:r>
        <w:rPr>
          <w:rFonts w:hint="eastAsia" w:ascii="仿宋_GB2312" w:hAnsi="微软雅黑" w:eastAsia="仿宋_GB2312"/>
          <w:sz w:val="32"/>
        </w:rPr>
        <w:t>11. 公共安全（类）司法（款）事业运行（项）：是指事业单位机构正常运行、开展日常工作的基本支出。</w:t>
      </w:r>
    </w:p>
    <w:p>
      <w:pPr>
        <w:ind w:firstLine="640"/>
        <w:rPr>
          <w:rFonts w:ascii="仿宋_GB2312" w:hAnsi="微软雅黑" w:eastAsia="仿宋_GB2312"/>
          <w:sz w:val="32"/>
        </w:rPr>
      </w:pPr>
      <w:r>
        <w:rPr>
          <w:rFonts w:hint="eastAsia" w:ascii="仿宋_GB2312" w:hAnsi="微软雅黑" w:eastAsia="仿宋_GB2312"/>
          <w:sz w:val="32"/>
        </w:rPr>
        <w:t>12.公共安全（类）司法（款）基层司法业务（项）：是指司法行政部门用于基层业务的支出，包括基层工作指导费、调节费、安置帮教费、“148”法律服务专用电话等支出。</w:t>
      </w:r>
    </w:p>
    <w:p>
      <w:pPr>
        <w:ind w:firstLine="640"/>
        <w:rPr>
          <w:rFonts w:ascii="仿宋_GB2312" w:hAnsi="微软雅黑" w:eastAsia="仿宋_GB2312"/>
          <w:sz w:val="32"/>
        </w:rPr>
      </w:pPr>
      <w:r>
        <w:rPr>
          <w:rFonts w:hint="eastAsia" w:ascii="仿宋_GB2312" w:hAnsi="微软雅黑" w:eastAsia="仿宋_GB2312"/>
          <w:sz w:val="32"/>
        </w:rPr>
        <w:t>13.公共安全（类）司法（款）普法宣传（项）：是指司法行政部门用于组织各种媒体的宣传、宣传资料、法制作品等支出。</w:t>
      </w:r>
    </w:p>
    <w:p>
      <w:pPr>
        <w:ind w:firstLine="640"/>
        <w:rPr>
          <w:rFonts w:ascii="仿宋_GB2312" w:hAnsi="微软雅黑" w:eastAsia="仿宋_GB2312"/>
          <w:sz w:val="32"/>
        </w:rPr>
      </w:pPr>
      <w:r>
        <w:rPr>
          <w:rFonts w:hint="eastAsia" w:ascii="仿宋_GB2312" w:hAnsi="微软雅黑" w:eastAsia="仿宋_GB2312"/>
          <w:sz w:val="32"/>
        </w:rPr>
        <w:t>14. 公共安全（类）司法（款）法律援助（项）：是指法律援助机构用于开展法律援助工作的支出，包括法律援助人员参加外部培训的经费支出、法律案件补贴、法律人员出差补助、交通费、住宿费等支出。</w:t>
      </w:r>
    </w:p>
    <w:p>
      <w:pPr>
        <w:ind w:firstLine="640"/>
        <w:rPr>
          <w:rFonts w:ascii="仿宋_GB2312" w:hAnsi="微软雅黑" w:eastAsia="仿宋_GB2312"/>
          <w:sz w:val="32"/>
        </w:rPr>
      </w:pPr>
      <w:r>
        <w:rPr>
          <w:rFonts w:hint="eastAsia" w:ascii="仿宋_GB2312" w:hAnsi="微软雅黑" w:eastAsia="仿宋_GB2312"/>
          <w:sz w:val="32"/>
        </w:rPr>
        <w:t>15. 公共安全（类）司法（款）司法统一考试（项）：是指用于举办司法考试统一考试所需的支出，包括考试资料费、组织考试的差旅费等。</w:t>
      </w:r>
    </w:p>
    <w:p>
      <w:pPr>
        <w:ind w:firstLine="640"/>
        <w:rPr>
          <w:rFonts w:ascii="仿宋_GB2312" w:hAnsi="微软雅黑" w:eastAsia="仿宋_GB2312"/>
          <w:sz w:val="32"/>
        </w:rPr>
      </w:pPr>
      <w:r>
        <w:rPr>
          <w:rFonts w:hint="eastAsia" w:ascii="仿宋_GB2312" w:hAnsi="微软雅黑" w:eastAsia="仿宋_GB2312"/>
          <w:sz w:val="32"/>
        </w:rPr>
        <w:t>16.公共安全（类）司法（款）其他司法支出（项）：是指司法行政部门发生的司法协助费、司法推广的宣传推广培训费等支出。</w:t>
      </w:r>
    </w:p>
    <w:p>
      <w:pPr>
        <w:ind w:firstLine="640"/>
        <w:rPr>
          <w:rFonts w:ascii="仿宋_GB2312" w:hAnsi="微软雅黑" w:eastAsia="仿宋_GB2312"/>
          <w:sz w:val="32"/>
        </w:rPr>
      </w:pPr>
      <w:r>
        <w:rPr>
          <w:rFonts w:hint="eastAsia" w:ascii="仿宋_GB2312" w:hAnsi="微软雅黑" w:eastAsia="仿宋_GB2312"/>
          <w:sz w:val="32"/>
        </w:rPr>
        <w:t>17. 社会保障和就业（类）行政事业单位离退休（款）未归口管理的行政单位离退休（项）：是指保障局机关离退休人员经费支出。</w:t>
      </w:r>
    </w:p>
    <w:p>
      <w:pPr>
        <w:ind w:firstLine="640"/>
        <w:rPr>
          <w:rFonts w:ascii="仿宋_GB2312" w:hAnsi="微软雅黑" w:eastAsia="仿宋_GB2312"/>
          <w:sz w:val="32"/>
        </w:rPr>
      </w:pPr>
      <w:r>
        <w:rPr>
          <w:rFonts w:hint="eastAsia" w:ascii="仿宋_GB2312" w:hAnsi="微软雅黑" w:eastAsia="仿宋_GB2312"/>
          <w:sz w:val="32"/>
        </w:rPr>
        <w:t>18. 社会保障和就业（类）行政事业单位离退休（款）机关事业单位基本养老保险缴费支出（项）：指实施养老保险制度后，部门按规定由单位缴纳的基本养老保险费支出。</w:t>
      </w:r>
    </w:p>
    <w:p>
      <w:pPr>
        <w:ind w:firstLine="640"/>
        <w:rPr>
          <w:rFonts w:ascii="仿宋_GB2312" w:hAnsi="微软雅黑" w:eastAsia="仿宋_GB2312"/>
          <w:sz w:val="32"/>
        </w:rPr>
      </w:pPr>
      <w:r>
        <w:rPr>
          <w:rFonts w:hint="eastAsia" w:ascii="仿宋_GB2312" w:hAnsi="微软雅黑" w:eastAsia="仿宋_GB2312"/>
          <w:sz w:val="32"/>
        </w:rPr>
        <w:t>19. 医疗卫生与计划生育（类）行政事业单位医疗（款）行政单位医疗（项）：是指局机关及参公管理事业单位基本医疗保险缴费支出。</w:t>
      </w:r>
    </w:p>
    <w:p>
      <w:pPr>
        <w:ind w:firstLine="640"/>
        <w:rPr>
          <w:rFonts w:ascii="仿宋_GB2312" w:hAnsi="Calibri" w:eastAsia="仿宋_GB2312"/>
          <w:sz w:val="32"/>
        </w:rPr>
      </w:pPr>
      <w:r>
        <w:rPr>
          <w:rFonts w:hint="eastAsia" w:ascii="仿宋_GB2312" w:hAnsi="黑体" w:eastAsia="仿宋_GB2312"/>
          <w:sz w:val="32"/>
        </w:rPr>
        <w:t>20. 医疗卫生与计划生育（类）行政事业单位医疗（款）事业单位医疗（项）：</w:t>
      </w:r>
      <w:r>
        <w:rPr>
          <w:rFonts w:hint="eastAsia" w:ascii="仿宋_GB2312" w:hAnsi="Calibri" w:eastAsia="仿宋_GB2312"/>
          <w:sz w:val="32"/>
        </w:rPr>
        <w:t>是指部门下属事业单位基本医疗保险缴费支出。</w:t>
      </w:r>
    </w:p>
    <w:p>
      <w:pPr>
        <w:ind w:firstLine="640"/>
        <w:rPr>
          <w:rFonts w:ascii="仿宋_GB2312" w:hAnsi="Calibri" w:eastAsia="仿宋_GB2312"/>
          <w:sz w:val="32"/>
        </w:rPr>
      </w:pPr>
      <w:r>
        <w:rPr>
          <w:rFonts w:hint="eastAsia" w:ascii="仿宋_GB2312" w:hAnsi="黑体" w:eastAsia="仿宋_GB2312"/>
          <w:sz w:val="32"/>
        </w:rPr>
        <w:t>21. 住房保障（类）住房改革支出（款）住房公积金（项）：</w:t>
      </w:r>
      <w:r>
        <w:rPr>
          <w:rFonts w:hint="eastAsia" w:ascii="仿宋_GB2312" w:hAnsi="Calibri" w:eastAsia="仿宋_GB2312"/>
          <w:sz w:val="32"/>
        </w:rPr>
        <w:t>是指部门按规定的工资总额以及规定比例为职工缴纳的住房公积金支出。</w:t>
      </w:r>
    </w:p>
    <w:p>
      <w:pPr>
        <w:ind w:firstLine="632" w:firstLineChars="200"/>
        <w:rPr>
          <w:rFonts w:ascii="仿宋_GB2312" w:eastAsia="仿宋_GB2312"/>
          <w:color w:val="000000"/>
          <w:sz w:val="32"/>
          <w:szCs w:val="32"/>
        </w:rPr>
      </w:pPr>
      <w:r>
        <w:rPr>
          <w:rFonts w:hint="eastAsia" w:ascii="仿宋_GB2312" w:eastAsia="仿宋_GB2312"/>
          <w:color w:val="000000"/>
          <w:sz w:val="32"/>
          <w:szCs w:val="32"/>
        </w:rPr>
        <w:t>22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32" w:firstLineChars="200"/>
        <w:rPr>
          <w:rFonts w:ascii="仿宋_GB2312" w:eastAsia="仿宋_GB2312"/>
          <w:color w:val="000000"/>
          <w:sz w:val="32"/>
          <w:szCs w:val="32"/>
        </w:rPr>
      </w:pPr>
      <w:r>
        <w:rPr>
          <w:rFonts w:hint="eastAsia" w:ascii="仿宋_GB2312" w:eastAsia="仿宋_GB2312"/>
          <w:color w:val="000000"/>
          <w:sz w:val="32"/>
          <w:szCs w:val="32"/>
        </w:rPr>
        <w:t>23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32" w:firstLineChars="200"/>
        <w:rPr>
          <w:rFonts w:ascii="仿宋_GB2312" w:eastAsia="仿宋_GB2312"/>
          <w:color w:val="000000"/>
          <w:sz w:val="32"/>
          <w:szCs w:val="32"/>
        </w:rPr>
      </w:pPr>
      <w:r>
        <w:rPr>
          <w:rFonts w:hint="eastAsia" w:ascii="仿宋_GB2312" w:eastAsia="仿宋_GB2312"/>
          <w:color w:val="000000"/>
          <w:sz w:val="32"/>
          <w:szCs w:val="32"/>
        </w:rPr>
        <w:t>24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ind w:firstLine="632" w:firstLineChars="200"/>
        <w:rPr>
          <w:rFonts w:ascii="仿宋_GB2312" w:eastAsia="仿宋_GB2312"/>
          <w:sz w:val="32"/>
          <w:szCs w:val="32"/>
        </w:rPr>
      </w:pP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ind w:firstLine="632"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outlineLvl w:val="0"/>
        <w:rPr>
          <w:rStyle w:val="19"/>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19"/>
          <w:rFonts w:hint="eastAsia" w:ascii="黑体" w:hAnsi="黑体" w:eastAsia="黑体"/>
          <w:b w:val="0"/>
        </w:rPr>
        <w:t>四部分</w:t>
      </w:r>
      <w:r>
        <w:rPr>
          <w:rStyle w:val="19"/>
          <w:rFonts w:ascii="黑体" w:hAnsi="黑体" w:eastAsia="黑体"/>
          <w:b w:val="0"/>
        </w:rPr>
        <w:t xml:space="preserve"> </w:t>
      </w:r>
      <w:r>
        <w:rPr>
          <w:rStyle w:val="19"/>
          <w:rFonts w:hint="eastAsia" w:ascii="黑体" w:hAnsi="黑体" w:eastAsia="黑体"/>
          <w:b w:val="0"/>
        </w:rPr>
        <w:t>附件</w:t>
      </w:r>
      <w:bookmarkEnd w:id="58"/>
    </w:p>
    <w:p>
      <w:pPr>
        <w:jc w:val="center"/>
        <w:outlineLvl w:val="0"/>
        <w:rPr>
          <w:rStyle w:val="19"/>
        </w:rPr>
      </w:pPr>
    </w:p>
    <w:p>
      <w:pPr>
        <w:pStyle w:val="3"/>
        <w:spacing w:line="240" w:lineRule="auto"/>
        <w:rPr>
          <w:rStyle w:val="19"/>
          <w:rFonts w:ascii="仿宋" w:hAnsi="仿宋" w:eastAsia="仿宋"/>
          <w:b w:val="0"/>
          <w:bCs w:val="0"/>
          <w:sz w:val="32"/>
          <w:szCs w:val="32"/>
        </w:rPr>
      </w:pPr>
      <w:bookmarkStart w:id="59" w:name="_Toc15396615"/>
      <w:r>
        <w:rPr>
          <w:rStyle w:val="19"/>
          <w:rFonts w:hint="eastAsia" w:ascii="仿宋" w:hAnsi="仿宋" w:eastAsia="仿宋"/>
          <w:b w:val="0"/>
          <w:bCs w:val="0"/>
          <w:sz w:val="32"/>
          <w:szCs w:val="32"/>
        </w:rPr>
        <w:t>附件</w:t>
      </w:r>
      <w:r>
        <w:rPr>
          <w:rStyle w:val="19"/>
          <w:rFonts w:ascii="仿宋" w:hAnsi="仿宋" w:eastAsia="仿宋"/>
          <w:b w:val="0"/>
          <w:bCs w:val="0"/>
          <w:sz w:val="32"/>
          <w:szCs w:val="32"/>
        </w:rPr>
        <w:t>1</w:t>
      </w:r>
      <w:bookmarkEnd w:id="59"/>
    </w:p>
    <w:p>
      <w:pPr>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rPr>
        <w:t>遂宁市司法局</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0"/>
    </w:p>
    <w:p>
      <w:pPr>
        <w:ind w:firstLine="632" w:firstLineChars="200"/>
        <w:rPr>
          <w:rFonts w:ascii="黑体" w:hAnsi="黑体" w:eastAsia="黑体" w:cs="黑体"/>
          <w:sz w:val="32"/>
          <w:szCs w:val="32"/>
        </w:rPr>
      </w:pPr>
    </w:p>
    <w:p>
      <w:pPr>
        <w:ind w:firstLine="632" w:firstLineChars="200"/>
        <w:rPr>
          <w:rFonts w:ascii="黑体" w:hAnsi="黑体" w:eastAsia="黑体" w:cs="黑体"/>
          <w:sz w:val="32"/>
          <w:szCs w:val="32"/>
        </w:rPr>
      </w:pPr>
      <w:r>
        <w:rPr>
          <w:rFonts w:hint="eastAsia" w:ascii="黑体" w:hAnsi="黑体" w:eastAsia="黑体" w:cs="黑体"/>
          <w:sz w:val="32"/>
          <w:szCs w:val="32"/>
        </w:rPr>
        <w:t>一、部门（单位）概况</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（一）机构组成。</w:t>
      </w:r>
    </w:p>
    <w:p>
      <w:pPr>
        <w:pStyle w:val="12"/>
        <w:spacing w:before="0" w:beforeAutospacing="0" w:after="0" w:afterAutospacing="0" w:line="580" w:lineRule="exact"/>
        <w:ind w:firstLine="640"/>
        <w:jc w:val="both"/>
        <w:rPr>
          <w:rFonts w:ascii="仿宋_GB2312" w:hAnsi="仿宋" w:eastAsia="仿宋_GB2312"/>
          <w:sz w:val="32"/>
          <w:szCs w:val="32"/>
        </w:rPr>
      </w:pPr>
      <w:r>
        <w:rPr>
          <w:rFonts w:hint="eastAsia" w:ascii="仿宋_GB2312" w:hAnsi="仿宋" w:eastAsia="仿宋_GB2312"/>
          <w:sz w:val="32"/>
          <w:szCs w:val="32"/>
        </w:rPr>
        <w:t>遂宁市司法局属财政一级预算单位。</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办公室。处理市司法局日常政务和事务。负责本机关文电、会务、接待、后勤服务、机要、档案、保密、信访、绩效管理、信息宣传、政务公开、政府信息公开、司法行政舆情管理、综治维稳、安全生产、职业健康、生态环境保护等工作。承担综合公文的起草审核、重大政务督办、史志年鉴编纂等工作。组织办理人大代表建议、政协委员提案。</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2）法治督察调研科。开展全面依法治市理论与实践调查研究工作，提出政策建议。承办全面依法治市工作规划建议的协调工作。组织起草全面依法治市有关重要文件。研究提出建设法治政府、推进依法行政的意见和措施。研究提出法治领域深化改革的意见和措施。拟订全面依法治市决策部署的年度督察工作计划，开展重大专项督察，提出督察意见、问责建议。接受各县（区）政府、市政府各部门和市直园区管委会法治工作重要决定和方案的备案。规划、协调、指导法治人才队伍建设相关工作。拟订本系统发展战略、发展规划、重大政策。推进司法行政改革。</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3）行政立法科。承办行政立法规划和年度行政立法计划建议的协调工作，向有关方面和社会征集行政立法项目建议意见，组织拟订市政府年度行政立法工作计划建议。承担地方性法规、市政府规章的草案起草或者组织起草、审查和市政府规章的解释、具体应用问题的答复工作。组织开展市政府规章的清理、编纂、翻译工作和行政立法后评估工作。承办相关法律、法规草案的征求意见回复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4）合法性审查科。负责市委、市政府规范性文件、重大行政决策发布前的合法性审查。承办市政府规范性文件的报送备案工作。负责各县（区）政府、市政府各部门和市直园区管委会规范性文件报送市政府的备案审查工作。组织开展规范性文件清理。负责市本级政府合同管理、市政府涉法事务处理。</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5）社区矫正管理科（戒毒工作指导科）。监督检查社区矫正法律、法规、规章和政策的执行工作。监督对社区矫正对象的刑罚执行、管理教育和帮扶工作。指导社会力量和志愿者参与社区矫正工作。指导对刑满释放人员的帮教安置工作。指导监督本系统强制隔离戒毒执行和戒毒康复工作。指导、支持和协助社区戒毒和社区康复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6）行政复议与应诉科。监督协调全市行政复议、行政诉讼、行政裁决、行政赔偿工作。办理向市政府申请的行政复议案件。受市政府委托承办市政府为被告的行政诉讼及民事诉讼案件并出庭应诉。办理省政府裁决案件和市信访复查复核委员会案件。办理向市政府申请行政赔偿的案件。办理向市司法局申请的行政赔偿案件和以市司法局为被告的诉讼案件。承担市政府行政复议委员会办公室日常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7）行政执法协调监督科（外来企业投诉科）。负责全市行政执法的综合协调、监督检查和评价工作。协调行政执法体制改革和行政执法的普遍性重要性问题。负责全市行政执法人员、执法监督人员的资格和证件管理，推进严格规范公正文明执法。协调各县（区）、各部门在执法中产生的重大矛盾和争议。办理有关行政执法投诉举报案件。指导监督全市外来企业投诉处理工作。为外来企业、民营企业及投资者提供法律、政策咨询服务。依法组织调解和协调，帮助外来企业维护其合法权益。会同有关部门对外来企业投诉事项进行调查核实，提出处理意见。</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8）普法与依法治理科。拟订法治宣传教育规划并组织实施。指导监督各地、各部门“谁执法谁普法”的普法责任制落实工作。指导监督国家工作人员学法用法工作，推进全民普法。承担市政府常务会议会前学法工作。指导各地、各部门、各行业依法治理和法治创建工作。组织对外法治宣传。指导社会主义法治文化建设。</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9）人民参与和促进法治科。拟订保障人民群众参与、促进、监督法治建设的制度措施。指导人民团体、群众自治组织和社会组织参与、支持法治社会建设工作。指导人民调解、行政调解和行业性专业性调解工作。负责并指导人民监督员选任管理工作。指导监督人民陪审员选任工作。推进司法所建设。</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10）公共法律服务管理科（行政审批科）。负责规划和推进公共法律服务体系和平台建设工作。监督管理法律援助、司法鉴定、公证、仲裁工作。编制遂宁市司法鉴定、公证和仲裁名册并公告。监督管理律师和律师事务所工作。承办特许执业律师的审核报批工作。指导监督党政机关、企事业单位法律顾问工作。管理公职律师、公司律师工作。指导监督基层法律服务工作。指导社会组织和志愿者开展法律服务工作。推进本系统行政审批制度改革，负责本部门“放管服”改革工作。办理市司法局行政许可事项。承担本部门政务服务事项的清理和纳入电子政务平台的工作，推进行政权力依法规范运行。规划和组织实施全市国家统一法律职业资格考试工作。负责全市国家统一法律职业资格申请、审核、报批、发证、档案建立使用、违纪违规处理等管理工作。组织实施法律职业人员入职前培训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11）装备财务保障科（科技信息科）。指导本系统财务、物资装备和基本建设管理工作。指导监督本系统中央和省级、市级政法补助专款和基建投资的使用工作。负责本系统服装和警车等监督管理工作。负责本部门的预决算、财务管理、国有资产管理、政府采购、基本建设和网络信息安全工作。指导推进本系统科技与信息化工作。拟订本系统电子政务和科技信息化发展规划、技术标准并协调落实。负责本部门科技信息化基础建设和涉及重大信息化项目的规划、设计、实施和管理。</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12）政治部（警务部）。负责本系统党的建设、班子队伍建设工作。负责本系统机构编制、干部人事、教育培训、文化建设工作。承办县（区）司法局领导干部的协管工作。负责本系统人民警察警务管理和警务督察工作。负责全市行政执法人员、执法监督人员的培训、考试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（13）机关党委。负责机关和所属事业单位的党群工作和离退休人员工作。负责机关党风廉政建设和纪律作风建设工作。联系指导大英监狱党建工作。机关党委办事机构按照市委有关规定设置。</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（二）机构职能。</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（1）承担全面依法治市重大问题的政策研究，协调有关方面提出全面依法治市规划建议，负责有关重大决策部署督察工作。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2）承担统筹规划行政立法工作的责任。协调有关方面提出行政立法规划和年度行政立法工作计划的建议，负责跟踪了解各部门对行政立法工作计划的落实情况，加强组织实施和督促指导，研究提出行政立法与改革决策相衔接的意见、措施。负责面向社会征集地方性法规、规章制定项目建议。</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（3）负责起草或者组织起草地方性法规、市政府规章草案。负责市政府各部门报送市政府的地方性法规、规章草案的审查工作。负责行政立法协调。</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（4）承担市政府规章的解释、行政立法后评估工作。负责协调各地、各部门实施法律、法规、规章中的有关争议和问题。承办市政府规章的清理、编纂、翻译工作。承办市政府规章报送备案工作。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5）负责市委、市政府规范性文件、重大行政决策发布前的合法性审查。承办市政府规范性文件的报送备案工作。负责各县（区）政府和市政府各部门规范性文件报送市政府的备案审查工作。组织开展规范性文件清理。负责市本级政府合同管理、市政府涉法事务处理。</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6）承担统筹推进法治政府建设的责任。监督指导各县（区）政府、市政府各部门、市直园区管委会依法行政工作。负责综合协调、监督检查行政执法，承担推进行政执法体制改革有关工作，推进严格规范公正文明执法。指导监督全市行政复议、行政应诉和行政赔偿工作，承办向市政府申请的行政复议、行政赔偿案件，代理市政府行政应诉案件。</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7）承担统筹规划法治社会建设的责任。负责拟订法治宣传教育规划，组织实施普法宣传，组织对外法治宣传。推动人民参与和促进法治建设。指导依法治理和法治创建工作。指导调解工作。负责并指导人民监督员的选任管理工作。指导监督人民陪审员选任工作。推进司法所建设。</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（8）指导管理社区矫正工作。指导刑满释放人员帮教安置工作。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（9）负责全市司法行政戒毒管理工作。指导监督本系统强制隔离戒毒执行和戒毒康复工作。对社区戒毒和社区康复工作提供指导、支持和协助。</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（10）负责拟订全市公共法律服务体系建设规划并指导实施，统筹和布局全市城乡、区域法律服务资源。指导监督律师、法律援助、司法鉴定、公证、仲裁和基层法律服务工作。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（11）负责全市国家统一法律职业资格考试的组织实施工作。负责全市国家统一法律职业资格管理工作。负责规划和指导法律职业人员入职前培训工作。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（12）负责本系统服装和警车管理工作。指导监督本系统财务、装备、设施、场所等保障工作。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（13）规划、协调、指导法治人才队伍建设相关工作，指导监督本系统队伍建设。协助县（区）管理司法局领导干部。</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（14）负责并指导本系统行政审批工作。负责全市外来企业涉及政务服务和行政执法方面的投诉处理。</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（15）负责职责范围内的安全生产和职业健康、生态环境保护、审批服务便民化等工作。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（16）完成市委和市政府交办的其他任务。</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（三）人员概况。</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市司法局政法专项编制45名。其中，局长1名，副局长3名，政治部（警务部）主任1名，机关党委书记1名；正科级领导职数14名</w:t>
      </w:r>
      <w:r>
        <w:rPr>
          <w:rFonts w:hint="eastAsia" w:ascii="仿宋_GB2312" w:hAnsi="仿宋_GB2312" w:eastAsia="仿宋_GB2312" w:cs="仿宋_GB2312"/>
          <w:sz w:val="32"/>
          <w:szCs w:val="32"/>
        </w:rPr>
        <w:t>〔含</w:t>
      </w:r>
      <w:r>
        <w:rPr>
          <w:rFonts w:hint="eastAsia" w:ascii="仿宋_GB2312" w:hAnsi="仿宋" w:eastAsia="仿宋_GB2312"/>
          <w:sz w:val="32"/>
          <w:szCs w:val="32"/>
        </w:rPr>
        <w:t>市委依法治市办秘书科科长、</w:t>
      </w:r>
      <w:r>
        <w:rPr>
          <w:rFonts w:hint="eastAsia" w:ascii="仿宋_GB2312" w:hAnsi="仿宋_GB2312" w:eastAsia="仿宋_GB2312" w:cs="仿宋_GB2312"/>
          <w:sz w:val="32"/>
          <w:szCs w:val="32"/>
        </w:rPr>
        <w:t>政治部（警务部）副主任</w:t>
      </w:r>
      <w:r>
        <w:rPr>
          <w:rFonts w:hint="eastAsia" w:ascii="仿宋_GB2312" w:hAnsi="仿宋" w:eastAsia="仿宋_GB2312"/>
          <w:sz w:val="32"/>
          <w:szCs w:val="32"/>
        </w:rPr>
        <w:t>、机关党委办公室主任各1名</w:t>
      </w:r>
      <w:r>
        <w:rPr>
          <w:rFonts w:hint="eastAsia" w:ascii="仿宋_GB2312" w:hAnsi="仿宋_GB2312" w:eastAsia="仿宋_GB2312" w:cs="仿宋_GB2312"/>
          <w:sz w:val="32"/>
          <w:szCs w:val="32"/>
        </w:rPr>
        <w:t>〕，副科级领导职数</w:t>
      </w:r>
      <w:r>
        <w:rPr>
          <w:rFonts w:hint="eastAsia" w:ascii="仿宋_GB2312" w:hAnsi="仿宋" w:eastAsia="仿宋_GB2312"/>
          <w:sz w:val="32"/>
          <w:szCs w:val="32"/>
        </w:rPr>
        <w:t>8名。</w:t>
      </w:r>
    </w:p>
    <w:p>
      <w:pPr>
        <w:ind w:firstLine="632"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pPr>
        <w:ind w:firstLine="632" w:firstLineChars="200"/>
        <w:outlineLvl w:val="1"/>
        <w:rPr>
          <w:rFonts w:ascii="仿宋" w:hAnsi="仿宋" w:eastAsia="仿宋"/>
          <w:color w:val="000000"/>
          <w:sz w:val="32"/>
          <w:szCs w:val="32"/>
        </w:rPr>
      </w:pPr>
      <w:r>
        <w:rPr>
          <w:rFonts w:hint="eastAsia" w:ascii="仿宋_GB2312" w:hAnsi="仿宋" w:eastAsia="仿宋_GB2312"/>
          <w:color w:val="000000"/>
          <w:sz w:val="32"/>
          <w:szCs w:val="32"/>
        </w:rPr>
        <w:t>2018年遂宁市司法局本年收入合计</w:t>
      </w:r>
      <w:r>
        <w:rPr>
          <w:rFonts w:hint="eastAsia" w:ascii="仿宋" w:hAnsi="仿宋" w:eastAsia="仿宋"/>
          <w:color w:val="000000"/>
          <w:sz w:val="32"/>
          <w:szCs w:val="32"/>
        </w:rPr>
        <w:t>1739.62万元，其中：一般公共预算财政拨款收入1441.44万元，占82.86</w:t>
      </w:r>
      <w:r>
        <w:rPr>
          <w:rFonts w:ascii="仿宋" w:hAnsi="仿宋" w:eastAsia="仿宋"/>
          <w:color w:val="000000"/>
          <w:sz w:val="32"/>
          <w:szCs w:val="32"/>
        </w:rPr>
        <w:t>%</w:t>
      </w:r>
      <w:r>
        <w:rPr>
          <w:rFonts w:hint="eastAsia" w:ascii="仿宋" w:hAnsi="仿宋" w:eastAsia="仿宋"/>
          <w:color w:val="000000"/>
          <w:sz w:val="32"/>
          <w:szCs w:val="32"/>
        </w:rPr>
        <w:t>；其他收入298.18万元，占17.14</w:t>
      </w:r>
      <w:r>
        <w:rPr>
          <w:rFonts w:ascii="仿宋" w:hAnsi="仿宋" w:eastAsia="仿宋"/>
          <w:color w:val="000000"/>
          <w:sz w:val="32"/>
          <w:szCs w:val="32"/>
        </w:rPr>
        <w:t>%</w:t>
      </w:r>
      <w:r>
        <w:rPr>
          <w:rFonts w:hint="eastAsia" w:ascii="仿宋" w:hAnsi="仿宋" w:eastAsia="仿宋"/>
          <w:color w:val="000000"/>
          <w:sz w:val="32"/>
          <w:szCs w:val="32"/>
        </w:rPr>
        <w:t>。</w:t>
      </w:r>
    </w:p>
    <w:p>
      <w:pPr>
        <w:pStyle w:val="12"/>
        <w:spacing w:before="0" w:beforeAutospacing="0" w:after="0" w:afterAutospacing="0" w:line="580" w:lineRule="exact"/>
        <w:ind w:firstLine="720"/>
        <w:rPr>
          <w:rFonts w:ascii="仿宋" w:hAnsi="仿宋" w:eastAsia="仿宋" w:cs="仿宋_GB2312"/>
          <w:sz w:val="32"/>
          <w:szCs w:val="32"/>
        </w:rPr>
      </w:pPr>
      <w:r>
        <w:rPr>
          <w:rFonts w:hint="eastAsia" w:ascii="仿宋" w:hAnsi="仿宋" w:eastAsia="仿宋" w:cs="仿宋_GB2312"/>
          <w:sz w:val="32"/>
          <w:szCs w:val="32"/>
        </w:rPr>
        <w:t>（二）部门财政资金支出情况。</w:t>
      </w:r>
    </w:p>
    <w:p>
      <w:pPr>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年本年支出合计1657.29万元，其中：基本支出1410.27万元，占85.09</w:t>
      </w:r>
      <w:r>
        <w:rPr>
          <w:rFonts w:ascii="仿宋" w:hAnsi="仿宋" w:eastAsia="仿宋"/>
          <w:color w:val="000000"/>
          <w:sz w:val="32"/>
          <w:szCs w:val="32"/>
        </w:rPr>
        <w:t>%</w:t>
      </w:r>
      <w:r>
        <w:rPr>
          <w:rFonts w:hint="eastAsia" w:ascii="仿宋" w:hAnsi="仿宋" w:eastAsia="仿宋"/>
          <w:color w:val="000000"/>
          <w:sz w:val="32"/>
          <w:szCs w:val="32"/>
        </w:rPr>
        <w:t>；项目支出247.02万元，占14.91</w:t>
      </w:r>
      <w:r>
        <w:rPr>
          <w:rFonts w:ascii="仿宋" w:hAnsi="仿宋" w:eastAsia="仿宋"/>
          <w:color w:val="000000"/>
          <w:sz w:val="32"/>
          <w:szCs w:val="32"/>
        </w:rPr>
        <w:t>%</w:t>
      </w:r>
      <w:r>
        <w:rPr>
          <w:rFonts w:hint="eastAsia" w:ascii="仿宋" w:hAnsi="仿宋" w:eastAsia="仿宋"/>
          <w:color w:val="000000"/>
          <w:sz w:val="32"/>
          <w:szCs w:val="32"/>
        </w:rPr>
        <w:t>。</w:t>
      </w:r>
    </w:p>
    <w:p>
      <w:pPr>
        <w:ind w:firstLine="632"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部门绩效目标制定明确、目标按时按质量完成、预算编制准确、支出控制严格、预算动态调整符合相关规定、执行进度合理、预算完成情况良好、无违规记录。</w:t>
      </w:r>
    </w:p>
    <w:p>
      <w:pPr>
        <w:ind w:firstLine="632" w:firstLineChars="200"/>
        <w:rPr>
          <w:rFonts w:ascii="仿宋_GB2312" w:hAnsi="仿宋" w:eastAsia="仿宋_GB2312" w:cs="仿宋"/>
          <w:sz w:val="32"/>
          <w:szCs w:val="32"/>
        </w:rPr>
      </w:pPr>
      <w:r>
        <w:rPr>
          <w:rFonts w:hint="eastAsia" w:ascii="仿宋_GB2312" w:hAnsi="仿宋" w:eastAsia="仿宋_GB2312" w:cs="仿宋"/>
          <w:sz w:val="32"/>
          <w:szCs w:val="32"/>
        </w:rPr>
        <w:t>1.预算编制质量。</w:t>
      </w:r>
      <w:r>
        <w:rPr>
          <w:rFonts w:hint="eastAsia" w:ascii="仿宋_GB2312" w:hAnsi="仿宋" w:eastAsia="仿宋_GB2312"/>
          <w:color w:val="000000"/>
          <w:sz w:val="32"/>
          <w:szCs w:val="32"/>
          <w:shd w:val="clear" w:color="auto" w:fill="FFFFFF"/>
        </w:rPr>
        <w:t>市司法局预算严格按照单位职责职能范围和</w:t>
      </w:r>
      <w:r>
        <w:rPr>
          <w:rFonts w:hint="eastAsia" w:ascii="仿宋_GB2312" w:hAnsi="仿宋" w:eastAsia="仿宋_GB2312" w:cs="仿宋"/>
          <w:sz w:val="32"/>
          <w:szCs w:val="32"/>
        </w:rPr>
        <w:t>市财政局下达的预算控制数，结合近年来单位的实际支出情况及当年的工作需要，编制并按时报送了本部门2018年的财政预算。全年财政预算资金</w:t>
      </w:r>
      <w:r>
        <w:rPr>
          <w:rFonts w:hint="eastAsia" w:ascii="仿宋_GB2312" w:hAnsi="仿宋" w:eastAsia="仿宋_GB2312"/>
          <w:color w:val="000000"/>
          <w:sz w:val="32"/>
          <w:szCs w:val="32"/>
          <w:shd w:val="clear" w:color="auto" w:fill="FFFFFF"/>
        </w:rPr>
        <w:t>进行了精准管理，优化支出结构，做到项目资金安排及时到位</w:t>
      </w:r>
      <w:r>
        <w:rPr>
          <w:rFonts w:hint="eastAsia" w:ascii="仿宋_GB2312" w:hAnsi="仿宋" w:eastAsia="仿宋_GB2312" w:cs="仿宋"/>
          <w:sz w:val="32"/>
          <w:szCs w:val="32"/>
        </w:rPr>
        <w:t>，未出现年末预算资金不足的情况。</w:t>
      </w:r>
    </w:p>
    <w:p>
      <w:pPr>
        <w:ind w:firstLine="572" w:firstLineChars="181"/>
        <w:rPr>
          <w:rFonts w:ascii="仿宋_GB2312" w:hAnsi="仿宋" w:eastAsia="仿宋_GB2312" w:cs="仿宋"/>
          <w:color w:val="000000"/>
          <w:sz w:val="32"/>
          <w:szCs w:val="32"/>
        </w:rPr>
      </w:pPr>
      <w:r>
        <w:rPr>
          <w:rFonts w:hint="eastAsia" w:ascii="仿宋_GB2312" w:hAnsi="仿宋" w:eastAsia="仿宋_GB2312" w:cs="仿宋"/>
          <w:color w:val="000000"/>
          <w:sz w:val="32"/>
          <w:szCs w:val="32"/>
        </w:rPr>
        <w:t>2.绩效目标填报。</w:t>
      </w:r>
      <w:r>
        <w:rPr>
          <w:rFonts w:hint="eastAsia" w:ascii="仿宋_GB2312" w:hAnsi="仿宋" w:eastAsia="仿宋_GB2312" w:cs="仿宋"/>
          <w:sz w:val="32"/>
          <w:szCs w:val="32"/>
        </w:rPr>
        <w:t>市司法局</w:t>
      </w:r>
      <w:r>
        <w:rPr>
          <w:rFonts w:hint="eastAsia" w:ascii="仿宋_GB2312" w:hAnsi="仿宋" w:eastAsia="仿宋_GB2312" w:cs="仿宋"/>
          <w:color w:val="000000"/>
          <w:sz w:val="32"/>
          <w:szCs w:val="32"/>
        </w:rPr>
        <w:t>按照预算资金绩效管理的要求，制度了年度资金安排计划，绩效目标任务按质按量完成，</w:t>
      </w:r>
      <w:r>
        <w:rPr>
          <w:rFonts w:hint="eastAsia" w:ascii="仿宋_GB2312" w:hAnsi="仿宋" w:eastAsia="仿宋_GB2312"/>
          <w:color w:val="000000"/>
          <w:sz w:val="32"/>
          <w:szCs w:val="32"/>
          <w:shd w:val="clear" w:color="auto" w:fill="FFFFFF"/>
        </w:rPr>
        <w:t>绩效目标填报准确及时</w:t>
      </w:r>
      <w:r>
        <w:rPr>
          <w:rFonts w:hint="eastAsia" w:ascii="仿宋_GB2312" w:hAnsi="仿宋" w:eastAsia="仿宋_GB2312" w:cs="仿宋"/>
          <w:color w:val="000000"/>
          <w:sz w:val="32"/>
          <w:szCs w:val="32"/>
        </w:rPr>
        <w:t>。</w:t>
      </w:r>
    </w:p>
    <w:p>
      <w:pPr>
        <w:pStyle w:val="12"/>
        <w:spacing w:before="0" w:beforeAutospacing="0" w:after="0" w:afterAutospacing="0" w:line="580" w:lineRule="exact"/>
        <w:ind w:firstLine="720"/>
        <w:rPr>
          <w:rFonts w:ascii="仿宋_GB2312" w:hAnsi="仿宋" w:eastAsia="仿宋_GB2312"/>
          <w:sz w:val="32"/>
          <w:szCs w:val="32"/>
        </w:rPr>
      </w:pPr>
      <w:r>
        <w:rPr>
          <w:rFonts w:hint="eastAsia" w:ascii="仿宋_GB2312" w:hAnsi="仿宋" w:eastAsia="仿宋_GB2312" w:cs="Times New Roman"/>
          <w:color w:val="000000"/>
          <w:sz w:val="32"/>
          <w:szCs w:val="32"/>
          <w:shd w:val="clear" w:color="auto" w:fill="FFFFFF"/>
        </w:rPr>
        <w:t>3.中央和省级政法转移资金下拨及时到位，专项转移支付资金及时下拨到各区县，各级转移支付资金使用按照工作实际需要分项目编制。</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专项预算项目程序严密、规划合理、结果符合项目预期要求、分配科学、分配及时、专项预算绩效目标完成符合预算要求、实施绩效到位、无违规记录。</w:t>
      </w:r>
    </w:p>
    <w:p>
      <w:pPr>
        <w:pStyle w:val="12"/>
        <w:spacing w:before="0" w:beforeAutospacing="0" w:after="0" w:afterAutospacing="0" w:line="580" w:lineRule="exact"/>
        <w:ind w:firstLine="720"/>
        <w:rPr>
          <w:rFonts w:ascii="仿宋_GB2312" w:hAnsi="仿宋" w:eastAsia="仿宋_GB2312" w:cs="仿宋"/>
          <w:sz w:val="32"/>
          <w:szCs w:val="32"/>
        </w:rPr>
      </w:pPr>
      <w:r>
        <w:rPr>
          <w:rFonts w:hint="eastAsia" w:ascii="仿宋_GB2312" w:hAnsi="仿宋" w:eastAsia="仿宋_GB2312" w:cs="Times New Roman"/>
          <w:color w:val="000000"/>
          <w:sz w:val="32"/>
          <w:szCs w:val="32"/>
          <w:shd w:val="clear" w:color="auto" w:fill="FFFFFF"/>
        </w:rPr>
        <w:t>部门预算执行情况良好，市级部门专项经费到位及时，预算分配时限合理。中省转移支付资金分配合规率高。</w:t>
      </w:r>
      <w:r>
        <w:rPr>
          <w:rFonts w:hint="eastAsia" w:ascii="仿宋_GB2312" w:hAnsi="仿宋" w:eastAsia="仿宋_GB2312" w:cs="仿宋"/>
          <w:sz w:val="32"/>
          <w:szCs w:val="32"/>
        </w:rPr>
        <w:t>中期自行评估后，加大了预算执行力度，</w:t>
      </w:r>
      <w:r>
        <w:rPr>
          <w:rFonts w:hint="eastAsia" w:ascii="仿宋_GB2312" w:hAnsi="仿宋" w:eastAsia="仿宋_GB2312" w:cs="Times New Roman"/>
          <w:color w:val="000000"/>
          <w:sz w:val="32"/>
          <w:szCs w:val="32"/>
          <w:shd w:val="clear" w:color="auto" w:fill="FFFFFF"/>
        </w:rPr>
        <w:t>部门预算执行进度按照市财政要求进行，</w:t>
      </w:r>
      <w:r>
        <w:rPr>
          <w:rFonts w:hint="eastAsia" w:ascii="仿宋_GB2312" w:hAnsi="仿宋" w:eastAsia="仿宋_GB2312" w:cs="仿宋"/>
          <w:sz w:val="32"/>
          <w:szCs w:val="32"/>
        </w:rPr>
        <w:t>基本支出预算达到了均衡预算支出的目标，项目支出预算执行进度基本实现预定目标。</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部门自评质量高、绩效目标公开和自评公开、评价结果良好、应用结果反馈情况好。</w:t>
      </w:r>
    </w:p>
    <w:p>
      <w:pPr>
        <w:pStyle w:val="12"/>
        <w:spacing w:before="0" w:beforeAutospacing="0" w:after="0" w:afterAutospacing="0" w:line="580" w:lineRule="exact"/>
        <w:ind w:firstLine="720"/>
        <w:rPr>
          <w:rFonts w:ascii="仿宋_GB2312" w:hAnsi="仿宋" w:eastAsia="仿宋_GB2312"/>
          <w:color w:val="000000"/>
          <w:sz w:val="32"/>
          <w:szCs w:val="32"/>
        </w:rPr>
      </w:pPr>
      <w:r>
        <w:rPr>
          <w:rFonts w:hint="eastAsia" w:ascii="仿宋_GB2312" w:hAnsi="仿宋" w:eastAsia="仿宋_GB2312"/>
          <w:color w:val="000000"/>
          <w:sz w:val="32"/>
          <w:szCs w:val="32"/>
        </w:rPr>
        <w:t>每年的部门预决算和“三公”经费收支情况均在市政务公开网站和局门户网站进行了公开，自觉接受群众监督。</w:t>
      </w:r>
    </w:p>
    <w:p>
      <w:pPr>
        <w:ind w:firstLine="632" w:firstLineChars="200"/>
        <w:rPr>
          <w:rFonts w:ascii="黑体" w:hAnsi="黑体" w:eastAsia="黑体" w:cs="黑体"/>
          <w:sz w:val="32"/>
          <w:szCs w:val="32"/>
        </w:rPr>
      </w:pPr>
      <w:r>
        <w:rPr>
          <w:rFonts w:hint="eastAsia" w:ascii="黑体" w:hAnsi="黑体" w:eastAsia="黑体" w:cs="黑体"/>
          <w:sz w:val="32"/>
          <w:szCs w:val="32"/>
        </w:rPr>
        <w:t>四、评价结论及建议</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（一）评价结论。</w:t>
      </w:r>
    </w:p>
    <w:p>
      <w:pPr>
        <w:pStyle w:val="12"/>
        <w:spacing w:before="0" w:beforeAutospacing="0" w:after="0" w:afterAutospacing="0" w:line="580" w:lineRule="exact"/>
        <w:ind w:firstLine="72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我局</w:t>
      </w:r>
      <w:r>
        <w:rPr>
          <w:rFonts w:hint="eastAsia" w:ascii="仿宋_GB2312" w:hAnsi="仿宋" w:eastAsia="仿宋_GB2312"/>
          <w:color w:val="000000"/>
          <w:sz w:val="32"/>
          <w:szCs w:val="32"/>
        </w:rPr>
        <w:t>本着“以收定支，量入为出，保证重点，兼顾一般”的原则，使财政预算拨款更加切合实际；我局</w:t>
      </w:r>
      <w:r>
        <w:rPr>
          <w:rFonts w:hint="eastAsia" w:ascii="仿宋_GB2312" w:hAnsi="仿宋" w:eastAsia="仿宋_GB2312" w:cs="Times New Roman"/>
          <w:color w:val="000000"/>
          <w:sz w:val="32"/>
          <w:szCs w:val="32"/>
        </w:rPr>
        <w:t>制定了资金管理、固定资产管理、财务内控制度等一系列财经制度，财务管理规范，资金监督考核严格，财务绩效明显，切实保障了资金使用合法合规，使财政资金充分</w:t>
      </w:r>
      <w:r>
        <w:rPr>
          <w:rFonts w:hint="eastAsia" w:ascii="仿宋_GB2312" w:hAnsi="仿宋" w:eastAsia="仿宋_GB2312"/>
          <w:color w:val="000000"/>
          <w:sz w:val="32"/>
          <w:szCs w:val="32"/>
        </w:rPr>
        <w:t>其在司法工作保障中的积极作用。</w:t>
      </w:r>
      <w:r>
        <w:rPr>
          <w:rFonts w:hint="eastAsia" w:ascii="仿宋_GB2312" w:eastAsia="仿宋_GB2312"/>
          <w:sz w:val="32"/>
          <w:szCs w:val="32"/>
        </w:rPr>
        <w:t>绩效监控的项目预期提供的产品、服务、效益目标明确细化，可衡量；绩效目标设定符合实际需求，合理可行；资金分配管理是否科学合理、规范有序，突出重点工作内容</w:t>
      </w:r>
      <w:r>
        <w:rPr>
          <w:rFonts w:hint="eastAsia" w:ascii="仿宋_GB2312" w:hAnsi="仿宋" w:eastAsia="仿宋_GB2312" w:cs="Times New Roman"/>
          <w:color w:val="000000"/>
          <w:sz w:val="32"/>
          <w:szCs w:val="32"/>
        </w:rPr>
        <w:t>。</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（二）存在问题。</w:t>
      </w:r>
    </w:p>
    <w:p>
      <w:pPr>
        <w:pStyle w:val="12"/>
        <w:spacing w:before="0" w:beforeAutospacing="0" w:after="0" w:afterAutospacing="0" w:line="580" w:lineRule="exact"/>
        <w:ind w:firstLine="720"/>
        <w:rPr>
          <w:rFonts w:ascii="仿宋_GB2312" w:hAnsi="仿宋" w:eastAsia="仿宋_GB2312"/>
          <w:sz w:val="32"/>
          <w:szCs w:val="32"/>
        </w:rPr>
      </w:pPr>
      <w:r>
        <w:rPr>
          <w:rFonts w:hint="eastAsia" w:ascii="仿宋_GB2312" w:hAnsi="仿宋" w:eastAsia="仿宋_GB2312" w:cs="Times New Roman"/>
          <w:color w:val="000000"/>
          <w:sz w:val="32"/>
          <w:szCs w:val="32"/>
          <w:shd w:val="clear" w:color="auto" w:fill="FFFFFF"/>
        </w:rPr>
        <w:t>单位财务管理制度有待进一步完善，单位内控监管有待加强。</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（三）改进建议。</w:t>
      </w:r>
    </w:p>
    <w:p>
      <w:pPr>
        <w:spacing w:line="580" w:lineRule="exact"/>
        <w:ind w:firstLine="632" w:firstLineChars="200"/>
        <w:rPr>
          <w:rFonts w:ascii="仿宋_GB2312" w:hAnsi="仿宋" w:eastAsia="仿宋_GB2312"/>
          <w:sz w:val="32"/>
          <w:szCs w:val="32"/>
        </w:rPr>
      </w:pPr>
      <w:r>
        <w:rPr>
          <w:rFonts w:hint="eastAsia" w:ascii="仿宋_GB2312" w:hAnsi="仿宋" w:eastAsia="仿宋_GB2312"/>
          <w:sz w:val="32"/>
          <w:szCs w:val="32"/>
        </w:rPr>
        <w:t>强化单位财务管理制度，加强预算管理和监督，提高经费使用的科学性和准确性。加强经费保障政策研究，积极探索建立经费保障的新机制。</w:t>
      </w:r>
    </w:p>
    <w:p>
      <w:pPr>
        <w:widowControl/>
        <w:shd w:val="clear" w:color="auto" w:fill="FFFFFF"/>
        <w:spacing w:line="580" w:lineRule="exact"/>
        <w:ind w:firstLine="632" w:firstLineChars="200"/>
        <w:rPr>
          <w:rFonts w:ascii="仿宋_GB2312" w:hAnsi="仿宋" w:eastAsia="仿宋_GB2312" w:cs="宋体"/>
          <w:color w:val="000000"/>
          <w:kern w:val="0"/>
          <w:sz w:val="32"/>
          <w:szCs w:val="32"/>
        </w:rPr>
      </w:pPr>
      <w:r>
        <w:rPr>
          <w:rFonts w:hint="eastAsia" w:ascii="仿宋_GB2312" w:hAnsi="仿宋" w:eastAsia="仿宋_GB2312"/>
          <w:color w:val="000000"/>
          <w:sz w:val="32"/>
          <w:szCs w:val="32"/>
          <w:shd w:val="clear" w:color="auto" w:fill="FFFFFF"/>
        </w:rPr>
        <w:t>增强内控意识，严格按照《会计法》和《内部会计控制基本规范》的规定，提高对本单位财务会计报告的真实性、完整性以及内部控制制度的合理性、有效性，针对行政事业单位的组织与管理特点对原有管理制度进行修改，从单位的实际情况出发，逐步完善财务内控制度，做到财务内部控制有章可循，不断增强行政事业单位的竞争力，有效提高其可持续发展的能力。</w:t>
      </w:r>
      <w:r>
        <w:rPr>
          <w:rFonts w:hint="eastAsia" w:ascii="仿宋_GB2312" w:eastAsia="仿宋_GB2312"/>
          <w:color w:val="000000"/>
          <w:sz w:val="32"/>
          <w:szCs w:val="32"/>
          <w:shd w:val="clear" w:color="auto" w:fill="FFFFFF"/>
        </w:rPr>
        <w:t> </w:t>
      </w:r>
    </w:p>
    <w:p>
      <w:pPr>
        <w:ind w:firstLine="632" w:firstLineChars="200"/>
        <w:rPr>
          <w:rFonts w:ascii="仿宋" w:hAnsi="仿宋" w:eastAsia="仿宋" w:cs="仿宋_GB2312"/>
          <w:sz w:val="32"/>
          <w:szCs w:val="32"/>
        </w:rPr>
      </w:pPr>
    </w:p>
    <w:p>
      <w:pPr>
        <w:ind w:firstLine="632"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spacing w:line="240" w:lineRule="auto"/>
        <w:rPr>
          <w:rStyle w:val="19"/>
          <w:rFonts w:ascii="仿宋" w:hAnsi="仿宋" w:eastAsia="仿宋"/>
          <w:b w:val="0"/>
          <w:bCs w:val="0"/>
          <w:sz w:val="32"/>
          <w:szCs w:val="32"/>
        </w:rPr>
      </w:pPr>
      <w:bookmarkStart w:id="61" w:name="_Toc15396617"/>
      <w:r>
        <w:rPr>
          <w:rStyle w:val="19"/>
          <w:rFonts w:hint="eastAsia" w:ascii="仿宋" w:hAnsi="仿宋" w:eastAsia="仿宋"/>
          <w:b w:val="0"/>
          <w:bCs w:val="0"/>
          <w:sz w:val="32"/>
          <w:szCs w:val="32"/>
        </w:rPr>
        <w:t>附件</w:t>
      </w:r>
      <w:r>
        <w:rPr>
          <w:rStyle w:val="19"/>
          <w:rFonts w:ascii="仿宋" w:hAnsi="仿宋" w:eastAsia="仿宋"/>
          <w:b w:val="0"/>
          <w:bCs w:val="0"/>
          <w:sz w:val="32"/>
          <w:szCs w:val="32"/>
        </w:rPr>
        <w:t>2</w:t>
      </w:r>
      <w:bookmarkEnd w:id="61"/>
    </w:p>
    <w:p>
      <w:pPr>
        <w:jc w:val="center"/>
        <w:rPr>
          <w:rFonts w:ascii="黑体" w:hAnsi="黑体" w:eastAsia="黑体" w:cs="方正小标宋简体"/>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年《以案说法》项目支出绩效评价报告</w:t>
      </w:r>
    </w:p>
    <w:p>
      <w:pPr>
        <w:ind w:firstLine="632" w:firstLineChars="200"/>
        <w:rPr>
          <w:rFonts w:ascii="仿宋_GB2312" w:hAnsi="仿宋_GB2312" w:eastAsia="仿宋_GB2312" w:cs="仿宋_GB2312"/>
          <w:sz w:val="32"/>
          <w:szCs w:val="32"/>
        </w:rPr>
      </w:pP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632" w:firstLineChars="200"/>
        <w:rPr>
          <w:rFonts w:ascii="仿宋_GB2312" w:hAnsi="仿宋" w:eastAsia="仿宋_GB2312"/>
          <w:sz w:val="32"/>
          <w:szCs w:val="32"/>
        </w:rPr>
      </w:pPr>
      <w:r>
        <w:rPr>
          <w:rFonts w:hint="eastAsia" w:ascii="仿宋_GB2312" w:hAnsi="仿宋" w:eastAsia="仿宋_GB2312"/>
          <w:sz w:val="32"/>
          <w:szCs w:val="32"/>
        </w:rPr>
        <w:t>2012年3月由遂宁市法制建设领导小组、市委宣传部、市委政法委主办，市司法局联合市文广局及节目制作参与单位，共同开办的普法专题电视节目《以案说法》。主要以我市老百姓身边的、典型鲜活的法治案例为载体，通过案件回放、当事人访谈、司法和行政执法单位解读、法律专家点评、主持人总结等形式，向广大干部群众宣传法治理念，普及法律知识。整个节目的定位是关注百姓身边发生的法律事件，报道百姓所关心关注的法律问题，努力为广大干部群众学法、知法、守法提供引导与服务；目的是要将法理性融入到故事情节之中，以案说法，普及法律知识，同时加强对政府行政执法、司法机关司法的过程进行监督。</w:t>
      </w:r>
    </w:p>
    <w:p>
      <w:pPr>
        <w:spacing w:line="580" w:lineRule="exact"/>
        <w:ind w:firstLine="632" w:firstLineChars="200"/>
        <w:rPr>
          <w:rFonts w:ascii="仿宋_GB2312" w:hAnsi="仿宋" w:eastAsia="仿宋_GB2312"/>
          <w:sz w:val="32"/>
          <w:szCs w:val="32"/>
        </w:rPr>
      </w:pPr>
      <w:r>
        <w:rPr>
          <w:rFonts w:hint="eastAsia" w:ascii="仿宋_GB2312" w:hAnsi="仿宋" w:eastAsia="仿宋_GB2312"/>
          <w:sz w:val="32"/>
          <w:szCs w:val="32"/>
        </w:rPr>
        <w:t>我局从项目完成、项目效益、满意度等方面设置了绩效指标，由此展开项目绩效评价；综合反映了项目预期完成的数量、成本、时效、质量，均预期达到了良好</w:t>
      </w:r>
      <w:r>
        <w:rPr>
          <w:rFonts w:hint="eastAsia" w:ascii="仿宋_GB2312" w:hAnsi="仿宋" w:eastAsia="仿宋_GB2312"/>
          <w:sz w:val="32"/>
          <w:szCs w:val="32"/>
          <w:lang w:eastAsia="zh-CN"/>
        </w:rPr>
        <w:t>的</w:t>
      </w:r>
      <w:bookmarkStart w:id="76" w:name="_GoBack"/>
      <w:bookmarkEnd w:id="76"/>
      <w:r>
        <w:rPr>
          <w:rFonts w:hint="eastAsia" w:ascii="仿宋_GB2312" w:hAnsi="仿宋" w:eastAsia="仿宋_GB2312"/>
          <w:sz w:val="32"/>
          <w:szCs w:val="32"/>
        </w:rPr>
        <w:t>社会效益、可持续影响，群众满意度高。</w:t>
      </w:r>
    </w:p>
    <w:p>
      <w:pPr>
        <w:spacing w:line="580" w:lineRule="exact"/>
        <w:ind w:firstLine="474" w:firstLineChars="150"/>
        <w:rPr>
          <w:rFonts w:ascii="仿宋" w:hAnsi="仿宋" w:eastAsia="仿宋" w:cs="仿宋_GB2312"/>
          <w:sz w:val="32"/>
          <w:szCs w:val="32"/>
        </w:rPr>
      </w:pPr>
      <w:r>
        <w:rPr>
          <w:rFonts w:hint="eastAsia" w:ascii="仿宋" w:hAnsi="仿宋" w:eastAsia="仿宋" w:cs="仿宋_GB2312"/>
          <w:sz w:val="32"/>
          <w:szCs w:val="32"/>
        </w:rPr>
        <w:t>二、评价结论及绩效分析</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2018年市级项目支出绩效评价指标体系</w:t>
      </w:r>
    </w:p>
    <w:tbl>
      <w:tblPr>
        <w:tblStyle w:val="1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94"/>
        <w:gridCol w:w="1371"/>
        <w:gridCol w:w="502"/>
        <w:gridCol w:w="449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920" w:type="dxa"/>
          </w:tcPr>
          <w:p>
            <w:pPr>
              <w:spacing w:line="240" w:lineRule="exact"/>
              <w:jc w:val="center"/>
              <w:rPr>
                <w:rFonts w:ascii="宋体" w:hAnsi="宋体"/>
                <w:b/>
                <w:kern w:val="0"/>
                <w:sz w:val="19"/>
                <w:szCs w:val="21"/>
              </w:rPr>
            </w:pPr>
            <w:r>
              <w:rPr>
                <w:rFonts w:hint="eastAsia" w:ascii="宋体" w:hAnsi="宋体"/>
                <w:b/>
                <w:kern w:val="0"/>
                <w:sz w:val="19"/>
                <w:szCs w:val="21"/>
              </w:rPr>
              <w:t>一级</w:t>
            </w:r>
          </w:p>
          <w:p>
            <w:pPr>
              <w:spacing w:line="240" w:lineRule="exact"/>
              <w:jc w:val="center"/>
              <w:rPr>
                <w:rFonts w:ascii="宋体" w:hAnsi="宋体"/>
                <w:b/>
                <w:kern w:val="0"/>
                <w:sz w:val="19"/>
                <w:szCs w:val="21"/>
              </w:rPr>
            </w:pPr>
            <w:r>
              <w:rPr>
                <w:rFonts w:hint="eastAsia" w:ascii="宋体" w:hAnsi="宋体"/>
                <w:b/>
                <w:kern w:val="0"/>
                <w:sz w:val="19"/>
                <w:szCs w:val="21"/>
              </w:rPr>
              <w:t>指标</w:t>
            </w:r>
          </w:p>
        </w:tc>
        <w:tc>
          <w:tcPr>
            <w:tcW w:w="794" w:type="dxa"/>
          </w:tcPr>
          <w:p>
            <w:pPr>
              <w:spacing w:line="240" w:lineRule="exact"/>
              <w:jc w:val="center"/>
              <w:rPr>
                <w:rFonts w:ascii="宋体" w:hAnsi="宋体"/>
                <w:b/>
                <w:kern w:val="0"/>
                <w:sz w:val="19"/>
                <w:szCs w:val="21"/>
              </w:rPr>
            </w:pPr>
            <w:r>
              <w:rPr>
                <w:rFonts w:hint="eastAsia" w:ascii="宋体" w:hAnsi="宋体"/>
                <w:b/>
                <w:kern w:val="0"/>
                <w:sz w:val="19"/>
                <w:szCs w:val="21"/>
              </w:rPr>
              <w:t>二级</w:t>
            </w:r>
          </w:p>
          <w:p>
            <w:pPr>
              <w:spacing w:line="240" w:lineRule="exact"/>
              <w:jc w:val="center"/>
              <w:rPr>
                <w:rFonts w:ascii="宋体" w:hAnsi="宋体"/>
                <w:b/>
                <w:kern w:val="0"/>
                <w:sz w:val="19"/>
                <w:szCs w:val="21"/>
              </w:rPr>
            </w:pPr>
            <w:r>
              <w:rPr>
                <w:rFonts w:hint="eastAsia" w:ascii="宋体" w:hAnsi="宋体"/>
                <w:b/>
                <w:kern w:val="0"/>
                <w:sz w:val="19"/>
                <w:szCs w:val="21"/>
              </w:rPr>
              <w:t>指标</w:t>
            </w:r>
          </w:p>
        </w:tc>
        <w:tc>
          <w:tcPr>
            <w:tcW w:w="1371" w:type="dxa"/>
          </w:tcPr>
          <w:p>
            <w:pPr>
              <w:spacing w:line="240" w:lineRule="exact"/>
              <w:jc w:val="center"/>
              <w:rPr>
                <w:rFonts w:ascii="宋体" w:hAnsi="宋体"/>
                <w:b/>
                <w:kern w:val="0"/>
                <w:sz w:val="19"/>
                <w:szCs w:val="21"/>
              </w:rPr>
            </w:pPr>
            <w:r>
              <w:rPr>
                <w:rFonts w:hint="eastAsia" w:ascii="宋体" w:hAnsi="宋体"/>
                <w:b/>
                <w:kern w:val="0"/>
                <w:sz w:val="19"/>
                <w:szCs w:val="21"/>
              </w:rPr>
              <w:t>三级指标</w:t>
            </w:r>
          </w:p>
        </w:tc>
        <w:tc>
          <w:tcPr>
            <w:tcW w:w="502" w:type="dxa"/>
          </w:tcPr>
          <w:p>
            <w:pPr>
              <w:spacing w:line="240" w:lineRule="exact"/>
              <w:jc w:val="center"/>
              <w:rPr>
                <w:rFonts w:ascii="宋体" w:hAnsi="宋体"/>
                <w:b/>
                <w:kern w:val="0"/>
                <w:sz w:val="19"/>
                <w:szCs w:val="21"/>
              </w:rPr>
            </w:pPr>
            <w:r>
              <w:rPr>
                <w:rFonts w:hint="eastAsia" w:ascii="宋体" w:hAnsi="宋体"/>
                <w:b/>
                <w:kern w:val="0"/>
                <w:sz w:val="19"/>
                <w:szCs w:val="21"/>
              </w:rPr>
              <w:t>分值</w:t>
            </w:r>
          </w:p>
        </w:tc>
        <w:tc>
          <w:tcPr>
            <w:tcW w:w="4494" w:type="dxa"/>
          </w:tcPr>
          <w:p>
            <w:pPr>
              <w:spacing w:line="240" w:lineRule="exact"/>
              <w:jc w:val="center"/>
              <w:rPr>
                <w:rFonts w:ascii="宋体" w:hAnsi="宋体"/>
                <w:b/>
                <w:kern w:val="0"/>
                <w:sz w:val="19"/>
                <w:szCs w:val="21"/>
              </w:rPr>
            </w:pPr>
            <w:r>
              <w:rPr>
                <w:rFonts w:hint="eastAsia" w:ascii="宋体" w:hAnsi="宋体"/>
                <w:b/>
                <w:kern w:val="0"/>
                <w:sz w:val="19"/>
                <w:szCs w:val="21"/>
              </w:rPr>
              <w:t>指标评价内容</w:t>
            </w:r>
          </w:p>
          <w:p>
            <w:pPr>
              <w:spacing w:line="240" w:lineRule="exact"/>
              <w:jc w:val="center"/>
              <w:rPr>
                <w:rFonts w:ascii="宋体" w:hAnsi="宋体"/>
                <w:b/>
                <w:kern w:val="0"/>
                <w:sz w:val="19"/>
                <w:szCs w:val="21"/>
              </w:rPr>
            </w:pPr>
            <w:r>
              <w:rPr>
                <w:rFonts w:hint="eastAsia" w:ascii="宋体" w:hAnsi="宋体"/>
                <w:b/>
                <w:kern w:val="0"/>
                <w:sz w:val="19"/>
                <w:szCs w:val="21"/>
              </w:rPr>
              <w:t>（公式计算结果＝X）</w:t>
            </w:r>
          </w:p>
        </w:tc>
        <w:tc>
          <w:tcPr>
            <w:tcW w:w="850" w:type="dxa"/>
            <w:shd w:val="clear" w:color="auto" w:fill="auto"/>
          </w:tcPr>
          <w:p>
            <w:pPr>
              <w:widowControl/>
              <w:jc w:val="left"/>
              <w:rPr>
                <w:rFonts w:ascii="宋体" w:hAnsi="宋体"/>
                <w:b/>
                <w:kern w:val="0"/>
                <w:sz w:val="19"/>
                <w:szCs w:val="21"/>
              </w:rPr>
            </w:pPr>
            <w:r>
              <w:rPr>
                <w:rFonts w:hint="eastAsia" w:ascii="宋体" w:hAnsi="宋体"/>
                <w:b/>
                <w:kern w:val="0"/>
                <w:sz w:val="19"/>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0"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（20分）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项目决策</w:t>
            </w: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（10分）</w:t>
            </w:r>
          </w:p>
          <w:p>
            <w:pPr>
              <w:spacing w:line="240" w:lineRule="exact"/>
              <w:ind w:left="113" w:right="113"/>
              <w:jc w:val="center"/>
              <w:rPr>
                <w:rFonts w:ascii="宋体" w:hAnsi="宋体"/>
                <w:kern w:val="0"/>
                <w:sz w:val="19"/>
                <w:szCs w:val="21"/>
              </w:rPr>
            </w:pPr>
            <w:r>
              <w:rPr>
                <w:rFonts w:hint="eastAsia" w:ascii="宋体" w:hAnsi="宋体"/>
                <w:kern w:val="0"/>
                <w:sz w:val="19"/>
                <w:szCs w:val="21"/>
              </w:rPr>
              <w:t>科学决策</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必要性</w:t>
            </w:r>
          </w:p>
          <w:p>
            <w:pPr>
              <w:spacing w:line="240" w:lineRule="exact"/>
              <w:jc w:val="center"/>
              <w:rPr>
                <w:rFonts w:ascii="宋体" w:hAnsi="宋体"/>
                <w:kern w:val="0"/>
                <w:sz w:val="19"/>
                <w:szCs w:val="21"/>
              </w:rPr>
            </w:pPr>
            <w:r>
              <w:rPr>
                <w:rFonts w:hint="eastAsia" w:ascii="宋体" w:hAnsi="宋体"/>
                <w:kern w:val="0"/>
                <w:sz w:val="19"/>
                <w:szCs w:val="21"/>
              </w:rPr>
              <w:t>（政策依据）</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项目符合党中央、国务院和省委、省政府决策部署；符合当前经济社会发展需要，政策和实际需求的吻合程度分析</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可行性</w:t>
            </w:r>
          </w:p>
          <w:p>
            <w:pPr>
              <w:spacing w:line="240" w:lineRule="exact"/>
              <w:jc w:val="center"/>
              <w:rPr>
                <w:rFonts w:ascii="宋体" w:hAnsi="宋体"/>
                <w:kern w:val="0"/>
                <w:sz w:val="19"/>
                <w:szCs w:val="21"/>
              </w:rPr>
            </w:pPr>
            <w:r>
              <w:rPr>
                <w:rFonts w:hint="eastAsia" w:ascii="宋体" w:hAnsi="宋体"/>
                <w:kern w:val="0"/>
                <w:sz w:val="19"/>
                <w:szCs w:val="21"/>
              </w:rPr>
              <w:t>（政策完善）</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可行性论证充分，规划、管理办法、指导意见等制度是否健全完善</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（10分）</w:t>
            </w:r>
          </w:p>
          <w:p>
            <w:pPr>
              <w:spacing w:line="240" w:lineRule="exact"/>
              <w:ind w:left="113" w:right="113"/>
              <w:jc w:val="center"/>
              <w:rPr>
                <w:rFonts w:ascii="宋体" w:hAnsi="宋体"/>
                <w:kern w:val="0"/>
                <w:sz w:val="19"/>
                <w:szCs w:val="21"/>
              </w:rPr>
            </w:pPr>
            <w:r>
              <w:rPr>
                <w:rFonts w:hint="eastAsia" w:ascii="宋体" w:hAnsi="宋体"/>
                <w:kern w:val="0"/>
                <w:sz w:val="19"/>
                <w:szCs w:val="21"/>
              </w:rPr>
              <w:t>绩效目标</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明确性</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项目预期提供的产品、服务、效益或其他目标明确细化，可衡量</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合理性</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绩效目标设定符合实际需求，合理可行</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（10分）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项目管理</w:t>
            </w: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（7分）</w:t>
            </w:r>
          </w:p>
          <w:p>
            <w:pPr>
              <w:spacing w:line="240" w:lineRule="exact"/>
              <w:ind w:left="113" w:right="113"/>
              <w:jc w:val="center"/>
              <w:rPr>
                <w:rFonts w:ascii="宋体" w:hAnsi="宋体"/>
                <w:kern w:val="0"/>
                <w:sz w:val="19"/>
                <w:szCs w:val="21"/>
              </w:rPr>
            </w:pPr>
            <w:r>
              <w:rPr>
                <w:rFonts w:hint="eastAsia" w:ascii="宋体" w:hAnsi="宋体"/>
                <w:kern w:val="0"/>
                <w:sz w:val="19"/>
                <w:szCs w:val="21"/>
              </w:rPr>
              <w:t>资金管理</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资金分配</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3</w:t>
            </w:r>
          </w:p>
        </w:tc>
        <w:tc>
          <w:tcPr>
            <w:tcW w:w="4494" w:type="dxa"/>
          </w:tcPr>
          <w:p>
            <w:pPr>
              <w:spacing w:line="240" w:lineRule="exact"/>
              <w:rPr>
                <w:rFonts w:ascii="宋体" w:hAnsi="宋体"/>
                <w:kern w:val="0"/>
                <w:sz w:val="19"/>
                <w:szCs w:val="21"/>
              </w:rPr>
            </w:pPr>
            <w:r>
              <w:rPr>
                <w:rFonts w:hint="eastAsia" w:ascii="宋体" w:hAnsi="宋体"/>
                <w:kern w:val="0"/>
                <w:sz w:val="19"/>
                <w:szCs w:val="21"/>
              </w:rPr>
              <w:t>资金分配管理是否科学合理、规范有序;是否体现突出重点或公平性，符合财政资金改革方向</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资金使用</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4</w:t>
            </w:r>
          </w:p>
        </w:tc>
        <w:tc>
          <w:tcPr>
            <w:tcW w:w="4494" w:type="dxa"/>
          </w:tcPr>
          <w:p>
            <w:pPr>
              <w:spacing w:line="240" w:lineRule="exact"/>
              <w:rPr>
                <w:rFonts w:ascii="宋体" w:hAnsi="宋体"/>
                <w:kern w:val="0"/>
                <w:sz w:val="19"/>
                <w:szCs w:val="21"/>
              </w:rPr>
            </w:pPr>
            <w:r>
              <w:rPr>
                <w:rFonts w:hint="eastAsia" w:ascii="宋体" w:hAnsi="宋体"/>
                <w:kern w:val="0"/>
                <w:sz w:val="19"/>
                <w:szCs w:val="21"/>
              </w:rPr>
              <w:t>资金使用规范</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（3分）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项目执行</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执行规范</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3</w:t>
            </w:r>
          </w:p>
        </w:tc>
        <w:tc>
          <w:tcPr>
            <w:tcW w:w="4494" w:type="dxa"/>
          </w:tcPr>
          <w:p>
            <w:pPr>
              <w:spacing w:line="240" w:lineRule="exact"/>
              <w:rPr>
                <w:rFonts w:ascii="宋体" w:hAnsi="宋体"/>
                <w:kern w:val="0"/>
                <w:sz w:val="19"/>
                <w:szCs w:val="21"/>
              </w:rPr>
            </w:pPr>
            <w:r>
              <w:rPr>
                <w:rFonts w:hint="eastAsia" w:ascii="宋体" w:hAnsi="宋体"/>
                <w:kern w:val="0"/>
                <w:sz w:val="19"/>
                <w:szCs w:val="21"/>
              </w:rPr>
              <w:t>管理制度健全，管理过程科学规范</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0"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（特性指标70分）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项目绩效</w:t>
            </w: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（20分）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项目完成</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完成数量</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实际完成任务量/绩效目标设定任务量×100%</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完成质量</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符合绩效目标设定的验收标准，达到行业基准水平</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完成时效</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（实际完成时间-绩效目标设定完成时间）/绩效目标设定完成时间×100%</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完成成本</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（实际完成成本-预计完成成本）/预计完成成本×100%</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（50分（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项目效益</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经济效益</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restart"/>
          </w:tcPr>
          <w:p>
            <w:pPr>
              <w:spacing w:line="240" w:lineRule="exact"/>
              <w:jc w:val="center"/>
              <w:rPr>
                <w:rFonts w:ascii="宋体" w:hAnsi="宋体"/>
                <w:kern w:val="0"/>
                <w:sz w:val="19"/>
                <w:szCs w:val="21"/>
              </w:rPr>
            </w:pPr>
            <w:r>
              <w:rPr>
                <w:rFonts w:hint="eastAsia" w:ascii="宋体" w:hAnsi="宋体"/>
                <w:kern w:val="0"/>
                <w:sz w:val="19"/>
                <w:szCs w:val="21"/>
              </w:rPr>
              <w:t>40</w:t>
            </w:r>
          </w:p>
        </w:tc>
        <w:tc>
          <w:tcPr>
            <w:tcW w:w="4494" w:type="dxa"/>
          </w:tcPr>
          <w:p>
            <w:pPr>
              <w:spacing w:line="240" w:lineRule="exact"/>
              <w:rPr>
                <w:rFonts w:ascii="宋体" w:hAnsi="宋体"/>
                <w:kern w:val="0"/>
                <w:sz w:val="19"/>
                <w:szCs w:val="21"/>
              </w:rPr>
            </w:pPr>
            <w:r>
              <w:rPr>
                <w:rFonts w:hint="eastAsia" w:ascii="宋体" w:hAnsi="宋体"/>
                <w:kern w:val="0"/>
                <w:sz w:val="19"/>
                <w:szCs w:val="21"/>
              </w:rPr>
              <w:t>适用于经济发展类项目。反映相关产出对经济社会发展带来的影响和效果，根据项目实际细化具体指标。重点考核投入产出率、回报率、增长率等指标</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社会效益</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反映相关产出对社会发展带来的影响和效果，根据项目实际细化具体指标。重点考核</w:t>
            </w:r>
          </w:p>
          <w:p>
            <w:pPr>
              <w:spacing w:line="240" w:lineRule="exact"/>
              <w:rPr>
                <w:rFonts w:ascii="宋体" w:hAnsi="宋体"/>
                <w:kern w:val="0"/>
                <w:sz w:val="19"/>
                <w:szCs w:val="21"/>
              </w:rPr>
            </w:pPr>
            <w:r>
              <w:rPr>
                <w:rFonts w:hint="eastAsia" w:ascii="宋体" w:hAnsi="宋体"/>
                <w:kern w:val="0"/>
                <w:sz w:val="19"/>
                <w:szCs w:val="21"/>
              </w:rPr>
              <w:t>撬动率、贡献率、达标率、就业率等指标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生态效益</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反映相关产出对自然环境带来的影响和效果，根据项目实际细化具体指标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可持续效益（可选项）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反映相关产出带来影响的可持续期限，根据项目实际细化具体指标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公平效率</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主要反映资金使用者是否获得公平竞争的机会，以及民生类项目中受益群体是否应覆盖全覆盖，覆盖率是衡量指标。重点考核覆盖率、知晓率等指标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使用效率</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重点考核使用率等指标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ind w:left="-63" w:right="-92"/>
              <w:jc w:val="center"/>
              <w:rPr>
                <w:rFonts w:ascii="宋体" w:hAnsi="宋体"/>
                <w:kern w:val="0"/>
                <w:sz w:val="19"/>
                <w:szCs w:val="21"/>
              </w:rPr>
            </w:pPr>
            <w:r>
              <w:rPr>
                <w:rFonts w:hint="eastAsia" w:ascii="宋体" w:hAnsi="宋体"/>
                <w:kern w:val="0"/>
                <w:sz w:val="19"/>
                <w:szCs w:val="21"/>
              </w:rPr>
              <w:t>服务对象满意度</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10</w:t>
            </w:r>
          </w:p>
        </w:tc>
        <w:tc>
          <w:tcPr>
            <w:tcW w:w="4494" w:type="dxa"/>
          </w:tcPr>
          <w:p>
            <w:pPr>
              <w:spacing w:line="240" w:lineRule="exact"/>
              <w:rPr>
                <w:rFonts w:ascii="宋体" w:hAnsi="宋体"/>
                <w:kern w:val="0"/>
                <w:sz w:val="19"/>
                <w:szCs w:val="21"/>
              </w:rPr>
            </w:pPr>
            <w:r>
              <w:rPr>
                <w:rFonts w:hint="eastAsia" w:ascii="宋体" w:hAnsi="宋体"/>
                <w:kern w:val="0"/>
                <w:sz w:val="19"/>
                <w:szCs w:val="21"/>
              </w:rPr>
              <w:t>适用于民生类项目。满意率反映服务对象或项目受益人对相关产出及其影响的认可程度，根据项目实际细化具体指标。重点考核满意率等指标</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10</w:t>
            </w:r>
          </w:p>
        </w:tc>
      </w:tr>
    </w:tbl>
    <w:p>
      <w:pPr>
        <w:spacing w:line="620" w:lineRule="exact"/>
        <w:rPr>
          <w:rFonts w:ascii="黑体" w:hAnsi="黑体" w:eastAsia="黑体"/>
        </w:rPr>
        <w:sectPr>
          <w:footerReference r:id="rId3" w:type="default"/>
          <w:footerReference r:id="rId4" w:type="even"/>
          <w:pgSz w:w="11906" w:h="16838"/>
          <w:pgMar w:top="2098" w:right="1474" w:bottom="1985" w:left="1588" w:header="851" w:footer="1701" w:gutter="0"/>
          <w:pgNumType w:fmt="numberInDash"/>
          <w:cols w:space="720" w:num="1"/>
          <w:docGrid w:type="linesAndChars" w:linePitch="579" w:charSpace="-849"/>
        </w:sectPr>
      </w:pPr>
    </w:p>
    <w:p>
      <w:pPr>
        <w:rPr>
          <w:rFonts w:ascii="仿宋" w:hAnsi="仿宋" w:eastAsia="仿宋" w:cs="仿宋_GB2312"/>
          <w:sz w:val="32"/>
          <w:szCs w:val="32"/>
        </w:rPr>
      </w:pP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《以案说法》电视栏目栏目于2011开播，2012年3月由遂宁市法制建设领导小组、市委宣传部、市委政法委主办，市司法局联合市文广局及节目制作参与单位，共同承办的普法专题电视节目。</w:t>
      </w:r>
    </w:p>
    <w:p>
      <w:pPr>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资金由市司法局对其运行情况进行考核给付。电视台《以案说法》栏目组每年完成节目52期，节目每周二在遂宁电视台公共频道首播，在其他时段新闻频道、公共频道重播5次，每期节目上传至直播遂宁APP，法治遂宁网站等多个媒体进行播出。《以案说法》栏目项目资金由市司法局每年分二期拨付给市广播电视台，每年6月30、11月30日前对节目制作完成情况进行考核，6月30日前完成26期，11月30日前完成全年任务52期，制作完成节目均在以上媒体进行播出。市司法局根据考核情况按时给付，上半年下半年分别给付预算资金的一半。</w:t>
      </w:r>
    </w:p>
    <w:p>
      <w:pPr>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以案说法》电视栏目开播7年以来，已成为市电视台精品栏目，节目主要以我市老百姓身边的、典型鲜活的法治案例为载体，通过案件回放、当事人访谈、司法和行政执法单位解读、法律专家点评、主持人总结等形式，向广大干部群众宣传法治理念，普及法律知识。整个节目的定位是关注百姓身边发生的法律事件，报道百姓所关心关注的法律问题，努力为广大干部群众学法、知法、守法提供引导与服务。《以案说法》栏目紧紧围绕市委中心工作，服务于经济社会发展，不断推动法治宣传教育工作创新发展，为推进依法治市、建设法治遂宁、营造良好法治环境做出了积极的贡献。</w:t>
      </w: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Style w:val="19"/>
          <w:rFonts w:ascii="仿宋" w:hAnsi="仿宋" w:eastAsia="仿宋" w:cs="仿宋_GB2312"/>
          <w:b w:val="0"/>
          <w:bCs w:val="0"/>
          <w:kern w:val="2"/>
          <w:sz w:val="32"/>
          <w:szCs w:val="32"/>
        </w:rPr>
      </w:pPr>
    </w:p>
    <w:p>
      <w:pPr>
        <w:jc w:val="center"/>
        <w:outlineLvl w:val="0"/>
        <w:rPr>
          <w:rStyle w:val="19"/>
          <w:rFonts w:ascii="黑体" w:hAnsi="黑体" w:eastAsia="黑体"/>
          <w:b w:val="0"/>
        </w:rPr>
      </w:pPr>
      <w:bookmarkStart w:id="62" w:name="_Toc15396618"/>
      <w:r>
        <w:rPr>
          <w:rFonts w:hint="eastAsia" w:ascii="黑体" w:hAnsi="黑体" w:eastAsia="黑体"/>
          <w:color w:val="000000"/>
          <w:sz w:val="44"/>
          <w:szCs w:val="44"/>
        </w:rPr>
        <w:t>第</w:t>
      </w:r>
      <w:r>
        <w:rPr>
          <w:rStyle w:val="19"/>
          <w:rFonts w:hint="eastAsia" w:ascii="黑体" w:hAnsi="黑体" w:eastAsia="黑体"/>
          <w:b w:val="0"/>
        </w:rPr>
        <w:t>五部分</w:t>
      </w:r>
      <w:r>
        <w:rPr>
          <w:rStyle w:val="19"/>
          <w:rFonts w:ascii="黑体" w:hAnsi="黑体" w:eastAsia="黑体"/>
          <w:b w:val="0"/>
        </w:rPr>
        <w:t xml:space="preserve"> </w:t>
      </w:r>
      <w:r>
        <w:rPr>
          <w:rStyle w:val="19"/>
          <w:rFonts w:hint="eastAsia" w:ascii="黑体" w:hAnsi="黑体" w:eastAsia="黑体"/>
          <w:b w:val="0"/>
        </w:rPr>
        <w:t>附表</w:t>
      </w:r>
      <w:bookmarkEnd w:id="57"/>
      <w:bookmarkEnd w:id="62"/>
    </w:p>
    <w:p>
      <w:pPr>
        <w:jc w:val="center"/>
        <w:outlineLvl w:val="0"/>
        <w:rPr>
          <w:rFonts w:ascii="仿宋" w:hAnsi="仿宋" w:eastAsia="仿宋"/>
          <w:b/>
          <w:color w:val="000000"/>
          <w:sz w:val="44"/>
          <w:szCs w:val="44"/>
        </w:rPr>
      </w:pPr>
    </w:p>
    <w:p>
      <w:pPr>
        <w:pStyle w:val="3"/>
        <w:spacing w:line="240" w:lineRule="auto"/>
        <w:rPr>
          <w:rFonts w:ascii="仿宋" w:hAnsi="仿宋" w:eastAsia="仿宋"/>
          <w:color w:val="000000"/>
        </w:rPr>
      </w:pPr>
      <w:bookmarkStart w:id="63" w:name="_Toc15396619"/>
      <w:r>
        <w:rPr>
          <w:rFonts w:hint="eastAsia" w:ascii="仿宋" w:hAnsi="仿宋" w:eastAsia="仿宋"/>
          <w:b w:val="0"/>
          <w:color w:val="000000"/>
        </w:rPr>
        <w:t>一、收</w:t>
      </w:r>
      <w:r>
        <w:rPr>
          <w:rStyle w:val="20"/>
          <w:rFonts w:hint="eastAsia" w:ascii="仿宋" w:hAnsi="仿宋" w:eastAsia="仿宋"/>
          <w:b w:val="0"/>
          <w:bCs w:val="0"/>
        </w:rPr>
        <w:t>入支出决算总表</w:t>
      </w:r>
      <w:bookmarkEnd w:id="63"/>
    </w:p>
    <w:p>
      <w:pPr>
        <w:pStyle w:val="3"/>
        <w:spacing w:line="240" w:lineRule="auto"/>
        <w:rPr>
          <w:rFonts w:ascii="仿宋" w:hAnsi="仿宋" w:eastAsia="仿宋"/>
          <w:color w:val="000000"/>
        </w:rPr>
      </w:pPr>
      <w:bookmarkStart w:id="64" w:name="_Toc15396620"/>
      <w:r>
        <w:rPr>
          <w:rFonts w:hint="eastAsia" w:ascii="仿宋" w:hAnsi="仿宋" w:eastAsia="仿宋"/>
          <w:b w:val="0"/>
          <w:color w:val="000000"/>
        </w:rPr>
        <w:t>二、收</w:t>
      </w:r>
      <w:r>
        <w:rPr>
          <w:rStyle w:val="20"/>
          <w:rFonts w:hint="eastAsia" w:ascii="仿宋" w:hAnsi="仿宋" w:eastAsia="仿宋"/>
          <w:b w:val="0"/>
          <w:bCs w:val="0"/>
        </w:rPr>
        <w:t>入总表</w:t>
      </w:r>
      <w:bookmarkEnd w:id="64"/>
    </w:p>
    <w:p>
      <w:pPr>
        <w:pStyle w:val="3"/>
        <w:spacing w:line="240" w:lineRule="auto"/>
        <w:rPr>
          <w:rFonts w:ascii="仿宋" w:hAnsi="仿宋" w:eastAsia="仿宋"/>
          <w:color w:val="000000"/>
        </w:rPr>
      </w:pPr>
      <w:bookmarkStart w:id="65" w:name="_Toc15396621"/>
      <w:r>
        <w:rPr>
          <w:rStyle w:val="20"/>
          <w:rFonts w:hint="eastAsia" w:ascii="仿宋" w:hAnsi="仿宋" w:eastAsia="仿宋"/>
          <w:b w:val="0"/>
          <w:bCs w:val="0"/>
        </w:rPr>
        <w:t>三、</w:t>
      </w:r>
      <w:r>
        <w:rPr>
          <w:rFonts w:hint="eastAsia" w:ascii="仿宋" w:hAnsi="仿宋" w:eastAsia="仿宋"/>
          <w:b w:val="0"/>
          <w:color w:val="000000"/>
        </w:rPr>
        <w:t>支</w:t>
      </w:r>
      <w:r>
        <w:rPr>
          <w:rStyle w:val="20"/>
          <w:rFonts w:hint="eastAsia" w:ascii="仿宋" w:hAnsi="仿宋" w:eastAsia="仿宋"/>
          <w:b w:val="0"/>
          <w:bCs w:val="0"/>
        </w:rPr>
        <w:t>出总表</w:t>
      </w:r>
      <w:bookmarkEnd w:id="65"/>
    </w:p>
    <w:p>
      <w:pPr>
        <w:pStyle w:val="3"/>
        <w:spacing w:line="240" w:lineRule="auto"/>
        <w:rPr>
          <w:rFonts w:ascii="仿宋" w:hAnsi="仿宋" w:eastAsia="仿宋"/>
          <w:b w:val="0"/>
          <w:color w:val="000000"/>
        </w:rPr>
      </w:pPr>
      <w:bookmarkStart w:id="66" w:name="_Toc15396622"/>
      <w:r>
        <w:rPr>
          <w:rStyle w:val="20"/>
          <w:rFonts w:hint="eastAsia" w:ascii="仿宋" w:hAnsi="仿宋" w:eastAsia="仿宋"/>
          <w:b w:val="0"/>
          <w:bCs w:val="0"/>
        </w:rPr>
        <w:t>四、</w:t>
      </w:r>
      <w:r>
        <w:rPr>
          <w:rFonts w:hint="eastAsia" w:ascii="仿宋" w:hAnsi="仿宋" w:eastAsia="仿宋"/>
          <w:b w:val="0"/>
          <w:color w:val="000000"/>
        </w:rPr>
        <w:t>财</w:t>
      </w:r>
      <w:r>
        <w:rPr>
          <w:rStyle w:val="20"/>
          <w:rFonts w:hint="eastAsia" w:ascii="仿宋" w:hAnsi="仿宋" w:eastAsia="仿宋"/>
          <w:b w:val="0"/>
          <w:bCs w:val="0"/>
        </w:rPr>
        <w:t>政拨款收入支出决算总表</w:t>
      </w:r>
      <w:bookmarkEnd w:id="66"/>
    </w:p>
    <w:p>
      <w:pPr>
        <w:pStyle w:val="3"/>
        <w:spacing w:line="240" w:lineRule="auto"/>
        <w:rPr>
          <w:rFonts w:ascii="仿宋" w:hAnsi="仿宋" w:eastAsia="仿宋"/>
          <w:color w:val="000000"/>
        </w:rPr>
      </w:pPr>
      <w:bookmarkStart w:id="67" w:name="_Toc15396623"/>
      <w:r>
        <w:rPr>
          <w:rStyle w:val="20"/>
          <w:rFonts w:hint="eastAsia" w:ascii="仿宋" w:hAnsi="仿宋" w:eastAsia="仿宋"/>
          <w:b w:val="0"/>
          <w:bCs w:val="0"/>
        </w:rPr>
        <w:t>五、</w:t>
      </w:r>
      <w:r>
        <w:rPr>
          <w:rFonts w:hint="eastAsia" w:ascii="仿宋" w:hAnsi="仿宋" w:eastAsia="仿宋"/>
          <w:b w:val="0"/>
          <w:color w:val="000000"/>
        </w:rPr>
        <w:t>财</w:t>
      </w:r>
      <w:r>
        <w:rPr>
          <w:rStyle w:val="20"/>
          <w:rFonts w:hint="eastAsia" w:ascii="仿宋" w:hAnsi="仿宋" w:eastAsia="仿宋"/>
          <w:b w:val="0"/>
          <w:bCs w:val="0"/>
        </w:rPr>
        <w:t>政拨款支出决算明细表（政府经济分类科目）</w:t>
      </w:r>
      <w:bookmarkEnd w:id="67"/>
    </w:p>
    <w:p>
      <w:pPr>
        <w:pStyle w:val="3"/>
        <w:spacing w:line="240" w:lineRule="auto"/>
        <w:rPr>
          <w:rFonts w:ascii="仿宋" w:hAnsi="仿宋" w:eastAsia="仿宋"/>
          <w:color w:val="000000"/>
        </w:rPr>
      </w:pPr>
      <w:bookmarkStart w:id="68" w:name="_Toc15396624"/>
      <w:r>
        <w:rPr>
          <w:rStyle w:val="20"/>
          <w:rFonts w:hint="eastAsia" w:ascii="仿宋" w:hAnsi="仿宋" w:eastAsia="仿宋"/>
          <w:b w:val="0"/>
          <w:bCs w:val="0"/>
        </w:rPr>
        <w:t>六、</w:t>
      </w:r>
      <w:r>
        <w:rPr>
          <w:rFonts w:hint="eastAsia" w:ascii="仿宋" w:hAnsi="仿宋" w:eastAsia="仿宋"/>
          <w:b w:val="0"/>
          <w:color w:val="000000"/>
        </w:rPr>
        <w:t>一</w:t>
      </w:r>
      <w:r>
        <w:rPr>
          <w:rStyle w:val="20"/>
          <w:rFonts w:hint="eastAsia" w:ascii="仿宋" w:hAnsi="仿宋" w:eastAsia="仿宋"/>
          <w:b w:val="0"/>
          <w:bCs w:val="0"/>
        </w:rPr>
        <w:t>般公共预算财政拨款支出决算表</w:t>
      </w:r>
      <w:bookmarkEnd w:id="68"/>
    </w:p>
    <w:p>
      <w:pPr>
        <w:pStyle w:val="3"/>
        <w:spacing w:line="240" w:lineRule="auto"/>
        <w:rPr>
          <w:rFonts w:ascii="仿宋" w:hAnsi="仿宋" w:eastAsia="仿宋"/>
          <w:color w:val="000000"/>
        </w:rPr>
      </w:pPr>
      <w:bookmarkStart w:id="69" w:name="_Toc15396625"/>
      <w:r>
        <w:rPr>
          <w:rStyle w:val="20"/>
          <w:rFonts w:hint="eastAsia" w:ascii="仿宋" w:hAnsi="仿宋" w:eastAsia="仿宋"/>
          <w:b w:val="0"/>
          <w:bCs w:val="0"/>
        </w:rPr>
        <w:t>七、</w:t>
      </w:r>
      <w:r>
        <w:rPr>
          <w:rFonts w:hint="eastAsia" w:ascii="仿宋" w:hAnsi="仿宋" w:eastAsia="仿宋"/>
          <w:b w:val="0"/>
          <w:color w:val="000000"/>
        </w:rPr>
        <w:t>一</w:t>
      </w:r>
      <w:r>
        <w:rPr>
          <w:rStyle w:val="20"/>
          <w:rFonts w:hint="eastAsia" w:ascii="仿宋" w:hAnsi="仿宋" w:eastAsia="仿宋"/>
          <w:b w:val="0"/>
          <w:bCs w:val="0"/>
        </w:rPr>
        <w:t>般公共预算财政拨款支出决算明细表</w:t>
      </w:r>
      <w:bookmarkEnd w:id="69"/>
    </w:p>
    <w:p>
      <w:pPr>
        <w:pStyle w:val="3"/>
        <w:spacing w:line="240" w:lineRule="auto"/>
        <w:rPr>
          <w:rFonts w:ascii="仿宋" w:hAnsi="仿宋" w:eastAsia="仿宋"/>
          <w:color w:val="000000"/>
        </w:rPr>
      </w:pPr>
      <w:bookmarkStart w:id="70" w:name="_Toc15396626"/>
      <w:r>
        <w:rPr>
          <w:rStyle w:val="20"/>
          <w:rFonts w:hint="eastAsia" w:ascii="仿宋" w:hAnsi="仿宋" w:eastAsia="仿宋"/>
          <w:b w:val="0"/>
          <w:bCs w:val="0"/>
        </w:rPr>
        <w:t>八、</w:t>
      </w:r>
      <w:r>
        <w:rPr>
          <w:rFonts w:hint="eastAsia" w:ascii="仿宋" w:hAnsi="仿宋" w:eastAsia="仿宋"/>
          <w:b w:val="0"/>
          <w:color w:val="000000"/>
        </w:rPr>
        <w:t>一</w:t>
      </w:r>
      <w:r>
        <w:rPr>
          <w:rStyle w:val="20"/>
          <w:rFonts w:hint="eastAsia" w:ascii="仿宋" w:hAnsi="仿宋" w:eastAsia="仿宋"/>
          <w:b w:val="0"/>
          <w:bCs w:val="0"/>
        </w:rPr>
        <w:t>般公共预算财政拨款基本支出决算表</w:t>
      </w:r>
      <w:bookmarkEnd w:id="70"/>
    </w:p>
    <w:p>
      <w:pPr>
        <w:pStyle w:val="3"/>
        <w:spacing w:line="240" w:lineRule="auto"/>
        <w:rPr>
          <w:rFonts w:ascii="仿宋" w:hAnsi="仿宋" w:eastAsia="仿宋"/>
          <w:color w:val="000000"/>
        </w:rPr>
      </w:pPr>
      <w:bookmarkStart w:id="71" w:name="_Toc15396627"/>
      <w:r>
        <w:rPr>
          <w:rStyle w:val="20"/>
          <w:rFonts w:hint="eastAsia" w:ascii="仿宋" w:hAnsi="仿宋" w:eastAsia="仿宋"/>
          <w:b w:val="0"/>
          <w:bCs w:val="0"/>
        </w:rPr>
        <w:t>九、</w:t>
      </w:r>
      <w:r>
        <w:rPr>
          <w:rFonts w:hint="eastAsia" w:ascii="仿宋" w:hAnsi="仿宋" w:eastAsia="仿宋"/>
          <w:b w:val="0"/>
          <w:color w:val="000000"/>
        </w:rPr>
        <w:t>一</w:t>
      </w:r>
      <w:r>
        <w:rPr>
          <w:rStyle w:val="20"/>
          <w:rFonts w:hint="eastAsia" w:ascii="仿宋" w:hAnsi="仿宋" w:eastAsia="仿宋"/>
          <w:b w:val="0"/>
          <w:bCs w:val="0"/>
        </w:rPr>
        <w:t>般公共预算财政拨款项目支出决算表</w:t>
      </w:r>
      <w:bookmarkEnd w:id="71"/>
    </w:p>
    <w:p>
      <w:pPr>
        <w:pStyle w:val="3"/>
        <w:spacing w:line="240" w:lineRule="auto"/>
        <w:rPr>
          <w:rFonts w:ascii="仿宋" w:hAnsi="仿宋" w:eastAsia="仿宋"/>
          <w:color w:val="000000"/>
        </w:rPr>
      </w:pPr>
      <w:bookmarkStart w:id="72" w:name="_Toc15396628"/>
      <w:r>
        <w:rPr>
          <w:rStyle w:val="20"/>
          <w:rFonts w:hint="eastAsia" w:ascii="仿宋" w:hAnsi="仿宋" w:eastAsia="仿宋"/>
          <w:b w:val="0"/>
          <w:bCs w:val="0"/>
        </w:rPr>
        <w:t>十、</w:t>
      </w:r>
      <w:r>
        <w:rPr>
          <w:rFonts w:hint="eastAsia" w:ascii="仿宋" w:hAnsi="仿宋" w:eastAsia="仿宋"/>
          <w:b w:val="0"/>
          <w:color w:val="000000"/>
        </w:rPr>
        <w:t>一</w:t>
      </w:r>
      <w:r>
        <w:rPr>
          <w:rStyle w:val="20"/>
          <w:rFonts w:hint="eastAsia" w:ascii="仿宋" w:hAnsi="仿宋" w:eastAsia="仿宋"/>
          <w:b w:val="0"/>
          <w:bCs w:val="0"/>
        </w:rPr>
        <w:t>般公共预算财政拨款“三公”经费支出决算表</w:t>
      </w:r>
      <w:bookmarkEnd w:id="72"/>
    </w:p>
    <w:p>
      <w:pPr>
        <w:pStyle w:val="3"/>
        <w:spacing w:line="240" w:lineRule="auto"/>
        <w:rPr>
          <w:rFonts w:ascii="仿宋" w:hAnsi="仿宋" w:eastAsia="仿宋"/>
          <w:color w:val="000000"/>
        </w:rPr>
      </w:pPr>
      <w:bookmarkStart w:id="73" w:name="_Toc15396629"/>
      <w:r>
        <w:rPr>
          <w:rStyle w:val="20"/>
          <w:rFonts w:hint="eastAsia" w:ascii="仿宋" w:hAnsi="仿宋" w:eastAsia="仿宋"/>
          <w:b w:val="0"/>
          <w:bCs w:val="0"/>
        </w:rPr>
        <w:t>十一、</w:t>
      </w:r>
      <w:r>
        <w:rPr>
          <w:rFonts w:hint="eastAsia" w:ascii="仿宋" w:hAnsi="仿宋" w:eastAsia="仿宋"/>
          <w:b w:val="0"/>
          <w:color w:val="000000"/>
        </w:rPr>
        <w:t>政</w:t>
      </w:r>
      <w:r>
        <w:rPr>
          <w:rStyle w:val="20"/>
          <w:rFonts w:hint="eastAsia" w:ascii="仿宋" w:hAnsi="仿宋" w:eastAsia="仿宋"/>
          <w:b w:val="0"/>
          <w:bCs w:val="0"/>
        </w:rPr>
        <w:t>府性基金预算财政拨款收入支出决算表</w:t>
      </w:r>
      <w:bookmarkEnd w:id="73"/>
    </w:p>
    <w:p>
      <w:pPr>
        <w:pStyle w:val="3"/>
        <w:spacing w:line="240" w:lineRule="auto"/>
        <w:rPr>
          <w:rFonts w:ascii="仿宋" w:hAnsi="仿宋" w:eastAsia="仿宋"/>
          <w:color w:val="000000"/>
        </w:rPr>
      </w:pPr>
      <w:bookmarkStart w:id="74" w:name="_Toc15396630"/>
      <w:r>
        <w:rPr>
          <w:rStyle w:val="20"/>
          <w:rFonts w:hint="eastAsia" w:ascii="仿宋" w:hAnsi="仿宋" w:eastAsia="仿宋"/>
          <w:b w:val="0"/>
          <w:bCs w:val="0"/>
        </w:rPr>
        <w:t>十二、</w:t>
      </w:r>
      <w:r>
        <w:rPr>
          <w:rFonts w:hint="eastAsia" w:ascii="仿宋" w:hAnsi="仿宋" w:eastAsia="仿宋"/>
          <w:b w:val="0"/>
          <w:color w:val="000000"/>
        </w:rPr>
        <w:t>政</w:t>
      </w:r>
      <w:r>
        <w:rPr>
          <w:rStyle w:val="20"/>
          <w:rFonts w:hint="eastAsia" w:ascii="仿宋" w:hAnsi="仿宋" w:eastAsia="仿宋"/>
          <w:b w:val="0"/>
          <w:bCs w:val="0"/>
        </w:rPr>
        <w:t>府性基金预算财政拨款“三公”经费支出决算表</w:t>
      </w:r>
      <w:bookmarkEnd w:id="74"/>
    </w:p>
    <w:p>
      <w:pPr>
        <w:pStyle w:val="3"/>
        <w:spacing w:line="240" w:lineRule="auto"/>
        <w:rPr>
          <w:rFonts w:ascii="仿宋" w:hAnsi="仿宋" w:eastAsia="仿宋"/>
          <w:color w:val="000000"/>
        </w:rPr>
      </w:pPr>
      <w:bookmarkStart w:id="75" w:name="_Toc15396631"/>
      <w:r>
        <w:rPr>
          <w:rStyle w:val="20"/>
          <w:rFonts w:hint="eastAsia" w:ascii="仿宋" w:hAnsi="仿宋" w:eastAsia="仿宋"/>
          <w:b w:val="0"/>
          <w:bCs w:val="0"/>
        </w:rPr>
        <w:t>十三、</w:t>
      </w:r>
      <w:r>
        <w:rPr>
          <w:rFonts w:hint="eastAsia" w:ascii="仿宋" w:hAnsi="仿宋" w:eastAsia="仿宋"/>
          <w:b w:val="0"/>
          <w:color w:val="000000"/>
        </w:rPr>
        <w:t>国</w:t>
      </w:r>
      <w:r>
        <w:rPr>
          <w:rStyle w:val="20"/>
          <w:rFonts w:hint="eastAsia" w:ascii="仿宋" w:hAnsi="仿宋" w:eastAsia="仿宋"/>
          <w:b w:val="0"/>
          <w:bCs w:val="0"/>
        </w:rPr>
        <w:t>有资本经营预算支出决算表</w:t>
      </w:r>
      <w:bookmarkEnd w:id="75"/>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210" w:leftChars="100" w:right="210" w:rightChars="100"/>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- 21 -</w:t>
    </w:r>
    <w:r>
      <w:rPr>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7"/>
      </w:rPr>
    </w:pPr>
    <w:r>
      <w:fldChar w:fldCharType="begin"/>
    </w:r>
    <w:r>
      <w:rPr>
        <w:rStyle w:val="17"/>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5Y2NkNTAxNzliZDQwMmM3Y2EyYmExMTJlZGNjM2YifQ=="/>
  </w:docVars>
  <w:rsids>
    <w:rsidRoot w:val="00F1361C"/>
    <w:rsid w:val="000222C6"/>
    <w:rsid w:val="00022341"/>
    <w:rsid w:val="0002549F"/>
    <w:rsid w:val="00057AD3"/>
    <w:rsid w:val="0006487A"/>
    <w:rsid w:val="00065269"/>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1FBF"/>
    <w:rsid w:val="00114E9B"/>
    <w:rsid w:val="0014729F"/>
    <w:rsid w:val="00157BAB"/>
    <w:rsid w:val="0016092F"/>
    <w:rsid w:val="001618D4"/>
    <w:rsid w:val="001654D1"/>
    <w:rsid w:val="0018106D"/>
    <w:rsid w:val="001877A7"/>
    <w:rsid w:val="00191536"/>
    <w:rsid w:val="00195552"/>
    <w:rsid w:val="00196687"/>
    <w:rsid w:val="001A2011"/>
    <w:rsid w:val="001C0962"/>
    <w:rsid w:val="001C6060"/>
    <w:rsid w:val="001D0370"/>
    <w:rsid w:val="001D7531"/>
    <w:rsid w:val="001E737D"/>
    <w:rsid w:val="001F0592"/>
    <w:rsid w:val="001F3245"/>
    <w:rsid w:val="001F7506"/>
    <w:rsid w:val="002006CD"/>
    <w:rsid w:val="00202B36"/>
    <w:rsid w:val="00204B7A"/>
    <w:rsid w:val="0021101A"/>
    <w:rsid w:val="0021255B"/>
    <w:rsid w:val="00220536"/>
    <w:rsid w:val="00235629"/>
    <w:rsid w:val="00260C38"/>
    <w:rsid w:val="002616C0"/>
    <w:rsid w:val="002662AA"/>
    <w:rsid w:val="00280496"/>
    <w:rsid w:val="00295495"/>
    <w:rsid w:val="002B2613"/>
    <w:rsid w:val="002B7D16"/>
    <w:rsid w:val="002D29F8"/>
    <w:rsid w:val="002F1818"/>
    <w:rsid w:val="002F3344"/>
    <w:rsid w:val="002F378E"/>
    <w:rsid w:val="002F567B"/>
    <w:rsid w:val="00303B06"/>
    <w:rsid w:val="00310F80"/>
    <w:rsid w:val="0031734B"/>
    <w:rsid w:val="003216A9"/>
    <w:rsid w:val="00325572"/>
    <w:rsid w:val="0034540D"/>
    <w:rsid w:val="00350DAC"/>
    <w:rsid w:val="0037013F"/>
    <w:rsid w:val="00380C92"/>
    <w:rsid w:val="003A058C"/>
    <w:rsid w:val="003A484F"/>
    <w:rsid w:val="003B0BE0"/>
    <w:rsid w:val="003B0C1B"/>
    <w:rsid w:val="003B688C"/>
    <w:rsid w:val="003C0291"/>
    <w:rsid w:val="003C39AE"/>
    <w:rsid w:val="003C7B60"/>
    <w:rsid w:val="003D1FB2"/>
    <w:rsid w:val="003D66DA"/>
    <w:rsid w:val="003E1310"/>
    <w:rsid w:val="003E6F55"/>
    <w:rsid w:val="003F6320"/>
    <w:rsid w:val="00402B82"/>
    <w:rsid w:val="00406254"/>
    <w:rsid w:val="004223DE"/>
    <w:rsid w:val="00434489"/>
    <w:rsid w:val="00437085"/>
    <w:rsid w:val="00443880"/>
    <w:rsid w:val="004464F4"/>
    <w:rsid w:val="00471401"/>
    <w:rsid w:val="004724E9"/>
    <w:rsid w:val="00473F31"/>
    <w:rsid w:val="0048263A"/>
    <w:rsid w:val="00487E5D"/>
    <w:rsid w:val="00492DBD"/>
    <w:rsid w:val="004A1368"/>
    <w:rsid w:val="004A711F"/>
    <w:rsid w:val="004B199D"/>
    <w:rsid w:val="004B3B45"/>
    <w:rsid w:val="004B4690"/>
    <w:rsid w:val="004B4BDD"/>
    <w:rsid w:val="004E0A2D"/>
    <w:rsid w:val="004E206B"/>
    <w:rsid w:val="004E6DF7"/>
    <w:rsid w:val="004F0FBD"/>
    <w:rsid w:val="004F2F8D"/>
    <w:rsid w:val="004F6C21"/>
    <w:rsid w:val="00505A47"/>
    <w:rsid w:val="00512FDA"/>
    <w:rsid w:val="00515D34"/>
    <w:rsid w:val="00520DA0"/>
    <w:rsid w:val="005664BB"/>
    <w:rsid w:val="0057481D"/>
    <w:rsid w:val="0058486E"/>
    <w:rsid w:val="00596EF8"/>
    <w:rsid w:val="005A30A5"/>
    <w:rsid w:val="005B02C9"/>
    <w:rsid w:val="005D1C8B"/>
    <w:rsid w:val="005D5CED"/>
    <w:rsid w:val="005F1A4C"/>
    <w:rsid w:val="005F555B"/>
    <w:rsid w:val="00600089"/>
    <w:rsid w:val="00605688"/>
    <w:rsid w:val="006070AF"/>
    <w:rsid w:val="00607E6C"/>
    <w:rsid w:val="006101B1"/>
    <w:rsid w:val="00614E44"/>
    <w:rsid w:val="00622830"/>
    <w:rsid w:val="00630AEF"/>
    <w:rsid w:val="006325F8"/>
    <w:rsid w:val="00633CF7"/>
    <w:rsid w:val="00634C9A"/>
    <w:rsid w:val="006440E4"/>
    <w:rsid w:val="0066343B"/>
    <w:rsid w:val="00664777"/>
    <w:rsid w:val="006748A4"/>
    <w:rsid w:val="00683E73"/>
    <w:rsid w:val="006A033D"/>
    <w:rsid w:val="006A3141"/>
    <w:rsid w:val="006A5E34"/>
    <w:rsid w:val="006B0BD6"/>
    <w:rsid w:val="006B2422"/>
    <w:rsid w:val="006B2B9A"/>
    <w:rsid w:val="006C1937"/>
    <w:rsid w:val="006F020C"/>
    <w:rsid w:val="007127B7"/>
    <w:rsid w:val="00730804"/>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0F1D"/>
    <w:rsid w:val="008253BB"/>
    <w:rsid w:val="0083146C"/>
    <w:rsid w:val="0083706E"/>
    <w:rsid w:val="008410A4"/>
    <w:rsid w:val="008423A5"/>
    <w:rsid w:val="00850625"/>
    <w:rsid w:val="00853718"/>
    <w:rsid w:val="00855221"/>
    <w:rsid w:val="00860645"/>
    <w:rsid w:val="00871F71"/>
    <w:rsid w:val="00885AF4"/>
    <w:rsid w:val="008939CD"/>
    <w:rsid w:val="008B768C"/>
    <w:rsid w:val="008C2A70"/>
    <w:rsid w:val="008C4DB1"/>
    <w:rsid w:val="008C4EAF"/>
    <w:rsid w:val="008C5176"/>
    <w:rsid w:val="008C7FD0"/>
    <w:rsid w:val="008E1DE7"/>
    <w:rsid w:val="008E707C"/>
    <w:rsid w:val="008F1690"/>
    <w:rsid w:val="00900B08"/>
    <w:rsid w:val="00902155"/>
    <w:rsid w:val="00902FA3"/>
    <w:rsid w:val="00923564"/>
    <w:rsid w:val="0092392E"/>
    <w:rsid w:val="009315F9"/>
    <w:rsid w:val="00946945"/>
    <w:rsid w:val="00951248"/>
    <w:rsid w:val="0095152F"/>
    <w:rsid w:val="00954C49"/>
    <w:rsid w:val="0097099F"/>
    <w:rsid w:val="00971997"/>
    <w:rsid w:val="00971FFC"/>
    <w:rsid w:val="00982421"/>
    <w:rsid w:val="0098660A"/>
    <w:rsid w:val="009931C3"/>
    <w:rsid w:val="0099792E"/>
    <w:rsid w:val="009B2C43"/>
    <w:rsid w:val="009B4EAE"/>
    <w:rsid w:val="009B7573"/>
    <w:rsid w:val="009C22F4"/>
    <w:rsid w:val="009C2E98"/>
    <w:rsid w:val="009D3447"/>
    <w:rsid w:val="009D3E28"/>
    <w:rsid w:val="009D4711"/>
    <w:rsid w:val="009D6DC3"/>
    <w:rsid w:val="009F1185"/>
    <w:rsid w:val="009F18CD"/>
    <w:rsid w:val="009F2A13"/>
    <w:rsid w:val="00A04EB0"/>
    <w:rsid w:val="00A13CC1"/>
    <w:rsid w:val="00A16847"/>
    <w:rsid w:val="00A237D8"/>
    <w:rsid w:val="00A268C4"/>
    <w:rsid w:val="00A307CD"/>
    <w:rsid w:val="00A40A00"/>
    <w:rsid w:val="00A4142F"/>
    <w:rsid w:val="00A56DF2"/>
    <w:rsid w:val="00A64F2F"/>
    <w:rsid w:val="00A67142"/>
    <w:rsid w:val="00A67AB5"/>
    <w:rsid w:val="00A91760"/>
    <w:rsid w:val="00A93B00"/>
    <w:rsid w:val="00A93C21"/>
    <w:rsid w:val="00AC3C6A"/>
    <w:rsid w:val="00AD5620"/>
    <w:rsid w:val="00AD7C1B"/>
    <w:rsid w:val="00AE0031"/>
    <w:rsid w:val="00AE16BA"/>
    <w:rsid w:val="00AE1EBE"/>
    <w:rsid w:val="00AF2BB4"/>
    <w:rsid w:val="00B03C9D"/>
    <w:rsid w:val="00B060AE"/>
    <w:rsid w:val="00B10517"/>
    <w:rsid w:val="00B11939"/>
    <w:rsid w:val="00B14E76"/>
    <w:rsid w:val="00B161B8"/>
    <w:rsid w:val="00B2048C"/>
    <w:rsid w:val="00B310B9"/>
    <w:rsid w:val="00B35F3F"/>
    <w:rsid w:val="00B36CBB"/>
    <w:rsid w:val="00B425E0"/>
    <w:rsid w:val="00B440AA"/>
    <w:rsid w:val="00B44B70"/>
    <w:rsid w:val="00B51E9A"/>
    <w:rsid w:val="00B53C56"/>
    <w:rsid w:val="00B77EA6"/>
    <w:rsid w:val="00B81598"/>
    <w:rsid w:val="00B841F1"/>
    <w:rsid w:val="00B84A3B"/>
    <w:rsid w:val="00B93159"/>
    <w:rsid w:val="00B944D6"/>
    <w:rsid w:val="00BB4DF0"/>
    <w:rsid w:val="00BC289F"/>
    <w:rsid w:val="00BC39D6"/>
    <w:rsid w:val="00BC5361"/>
    <w:rsid w:val="00BC5460"/>
    <w:rsid w:val="00BC6B50"/>
    <w:rsid w:val="00BD0E25"/>
    <w:rsid w:val="00BF5BD6"/>
    <w:rsid w:val="00C03E31"/>
    <w:rsid w:val="00C33E72"/>
    <w:rsid w:val="00C354B2"/>
    <w:rsid w:val="00C35554"/>
    <w:rsid w:val="00C40AAC"/>
    <w:rsid w:val="00C42709"/>
    <w:rsid w:val="00C533CC"/>
    <w:rsid w:val="00C5546E"/>
    <w:rsid w:val="00C5751C"/>
    <w:rsid w:val="00C61BFC"/>
    <w:rsid w:val="00C62B85"/>
    <w:rsid w:val="00C65438"/>
    <w:rsid w:val="00C65DD1"/>
    <w:rsid w:val="00C72984"/>
    <w:rsid w:val="00C74286"/>
    <w:rsid w:val="00C91CBB"/>
    <w:rsid w:val="00CA3CC8"/>
    <w:rsid w:val="00CA6118"/>
    <w:rsid w:val="00CB5C80"/>
    <w:rsid w:val="00CC09B6"/>
    <w:rsid w:val="00CC666F"/>
    <w:rsid w:val="00CD1E3F"/>
    <w:rsid w:val="00CD4497"/>
    <w:rsid w:val="00CE440A"/>
    <w:rsid w:val="00CE44F6"/>
    <w:rsid w:val="00CE49DA"/>
    <w:rsid w:val="00CE7B61"/>
    <w:rsid w:val="00D00095"/>
    <w:rsid w:val="00D20620"/>
    <w:rsid w:val="00D26091"/>
    <w:rsid w:val="00D34E7C"/>
    <w:rsid w:val="00D35489"/>
    <w:rsid w:val="00D41077"/>
    <w:rsid w:val="00D51276"/>
    <w:rsid w:val="00D67C8A"/>
    <w:rsid w:val="00D7035F"/>
    <w:rsid w:val="00D81726"/>
    <w:rsid w:val="00D956A6"/>
    <w:rsid w:val="00DA1245"/>
    <w:rsid w:val="00DA65AC"/>
    <w:rsid w:val="00DB0F51"/>
    <w:rsid w:val="00DB1913"/>
    <w:rsid w:val="00DB60E4"/>
    <w:rsid w:val="00DC17DA"/>
    <w:rsid w:val="00DC410D"/>
    <w:rsid w:val="00DC68CA"/>
    <w:rsid w:val="00DC7CBA"/>
    <w:rsid w:val="00DD73B7"/>
    <w:rsid w:val="00DE0959"/>
    <w:rsid w:val="00DF28BC"/>
    <w:rsid w:val="00DF34B9"/>
    <w:rsid w:val="00E01053"/>
    <w:rsid w:val="00E07ACF"/>
    <w:rsid w:val="00E276FD"/>
    <w:rsid w:val="00E331A1"/>
    <w:rsid w:val="00E33202"/>
    <w:rsid w:val="00E336A9"/>
    <w:rsid w:val="00E50624"/>
    <w:rsid w:val="00E568DF"/>
    <w:rsid w:val="00E64269"/>
    <w:rsid w:val="00E67009"/>
    <w:rsid w:val="00E82267"/>
    <w:rsid w:val="00E8612D"/>
    <w:rsid w:val="00EA010F"/>
    <w:rsid w:val="00EA352F"/>
    <w:rsid w:val="00ED1B63"/>
    <w:rsid w:val="00ED3C1F"/>
    <w:rsid w:val="00ED4085"/>
    <w:rsid w:val="00ED420E"/>
    <w:rsid w:val="00EE2F57"/>
    <w:rsid w:val="00EF4C34"/>
    <w:rsid w:val="00EF77C6"/>
    <w:rsid w:val="00F05438"/>
    <w:rsid w:val="00F1361C"/>
    <w:rsid w:val="00F160C7"/>
    <w:rsid w:val="00F36D8F"/>
    <w:rsid w:val="00F417B1"/>
    <w:rsid w:val="00F55754"/>
    <w:rsid w:val="00F602DF"/>
    <w:rsid w:val="00F81FD9"/>
    <w:rsid w:val="00F841AA"/>
    <w:rsid w:val="00FA23E8"/>
    <w:rsid w:val="00FB357F"/>
    <w:rsid w:val="00FD13FC"/>
    <w:rsid w:val="00FD3CC1"/>
    <w:rsid w:val="00FF1E02"/>
    <w:rsid w:val="00FF30B4"/>
    <w:rsid w:val="10C055FF"/>
    <w:rsid w:val="16BB723D"/>
    <w:rsid w:val="240371BF"/>
    <w:rsid w:val="29FD04D3"/>
    <w:rsid w:val="319F7F4E"/>
    <w:rsid w:val="713D63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31"/>
    <w:semiHidden/>
    <w:uiPriority w:val="99"/>
    <w:rPr>
      <w:sz w:val="18"/>
      <w:szCs w:val="18"/>
    </w:rPr>
  </w:style>
  <w:style w:type="paragraph" w:styleId="8">
    <w:name w:val="footer"/>
    <w:basedOn w:val="1"/>
    <w:link w:val="26"/>
    <w:uiPriority w:val="0"/>
    <w:pPr>
      <w:tabs>
        <w:tab w:val="center" w:pos="4153"/>
        <w:tab w:val="right" w:pos="8306"/>
      </w:tabs>
      <w:snapToGrid w:val="0"/>
      <w:jc w:val="left"/>
    </w:pPr>
    <w:rPr>
      <w:rFonts w:ascii="Calibri" w:hAnsi="Calibri"/>
      <w:kern w:val="0"/>
      <w:sz w:val="18"/>
      <w:szCs w:val="20"/>
    </w:rPr>
  </w:style>
  <w:style w:type="paragraph" w:styleId="9">
    <w:name w:val="header"/>
    <w:basedOn w:val="1"/>
    <w:link w:val="25"/>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rPr>
      <w:rFonts w:ascii="仿宋" w:hAnsi="仿宋" w:eastAsia="仿宋"/>
      <w:sz w:val="28"/>
      <w:szCs w:val="28"/>
    </w:rPr>
  </w:style>
  <w:style w:type="paragraph" w:styleId="12">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4">
    <w:name w:val="Table Grid"/>
    <w:basedOn w:val="13"/>
    <w:locked/>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rFonts w:cs="Times New Roman"/>
      <w:b/>
    </w:rPr>
  </w:style>
  <w:style w:type="character" w:styleId="17">
    <w:name w:val="page number"/>
    <w:basedOn w:val="15"/>
    <w:uiPriority w:val="0"/>
  </w:style>
  <w:style w:type="character" w:styleId="18">
    <w:name w:val="Hyperlink"/>
    <w:basedOn w:val="15"/>
    <w:uiPriority w:val="99"/>
    <w:rPr>
      <w:rFonts w:cs="Times New Roman"/>
      <w:color w:val="0000FF"/>
      <w:u w:val="single"/>
    </w:rPr>
  </w:style>
  <w:style w:type="character" w:customStyle="1" w:styleId="19">
    <w:name w:val="标题 1 Char"/>
    <w:basedOn w:val="15"/>
    <w:link w:val="2"/>
    <w:locked/>
    <w:uiPriority w:val="99"/>
    <w:rPr>
      <w:rFonts w:ascii="Times New Roman" w:hAnsi="Times New Roman" w:cs="Times New Roman"/>
      <w:b/>
      <w:bCs/>
      <w:kern w:val="44"/>
      <w:sz w:val="44"/>
      <w:szCs w:val="44"/>
    </w:rPr>
  </w:style>
  <w:style w:type="character" w:customStyle="1" w:styleId="20">
    <w:name w:val="标题 2 Char"/>
    <w:basedOn w:val="15"/>
    <w:link w:val="3"/>
    <w:locked/>
    <w:uiPriority w:val="99"/>
    <w:rPr>
      <w:rFonts w:ascii="Cambria" w:hAnsi="Cambria" w:eastAsia="宋体" w:cs="Times New Roman"/>
      <w:b/>
      <w:bCs/>
      <w:kern w:val="2"/>
      <w:sz w:val="32"/>
      <w:szCs w:val="32"/>
    </w:rPr>
  </w:style>
  <w:style w:type="character" w:customStyle="1" w:styleId="21">
    <w:name w:val="标题 3 Char"/>
    <w:basedOn w:val="15"/>
    <w:link w:val="4"/>
    <w:locked/>
    <w:uiPriority w:val="99"/>
    <w:rPr>
      <w:rFonts w:ascii="Times New Roman" w:hAnsi="Times New Roman" w:cs="Times New Roman"/>
      <w:b/>
      <w:bCs/>
      <w:kern w:val="2"/>
      <w:sz w:val="32"/>
      <w:szCs w:val="32"/>
    </w:rPr>
  </w:style>
  <w:style w:type="character" w:customStyle="1" w:styleId="22">
    <w:name w:val="Body Text Char"/>
    <w:basedOn w:val="15"/>
    <w:link w:val="5"/>
    <w:semiHidden/>
    <w:locked/>
    <w:uiPriority w:val="99"/>
    <w:rPr>
      <w:rFonts w:ascii="Times New Roman" w:hAnsi="Times New Roman" w:cs="Times New Roman"/>
      <w:sz w:val="24"/>
      <w:szCs w:val="24"/>
    </w:rPr>
  </w:style>
  <w:style w:type="character" w:customStyle="1" w:styleId="23">
    <w:name w:val="Footer Char"/>
    <w:basedOn w:val="15"/>
    <w:link w:val="8"/>
    <w:semiHidden/>
    <w:locked/>
    <w:uiPriority w:val="99"/>
    <w:rPr>
      <w:rFonts w:ascii="Times New Roman" w:hAnsi="Times New Roman" w:cs="Times New Roman"/>
      <w:sz w:val="18"/>
      <w:szCs w:val="18"/>
    </w:rPr>
  </w:style>
  <w:style w:type="character" w:customStyle="1" w:styleId="24">
    <w:name w:val="Header Char"/>
    <w:basedOn w:val="15"/>
    <w:link w:val="9"/>
    <w:semiHidden/>
    <w:locked/>
    <w:uiPriority w:val="99"/>
    <w:rPr>
      <w:rFonts w:ascii="Times New Roman" w:hAnsi="Times New Roman" w:cs="Times New Roman"/>
      <w:sz w:val="18"/>
      <w:szCs w:val="18"/>
    </w:rPr>
  </w:style>
  <w:style w:type="character" w:customStyle="1" w:styleId="25">
    <w:name w:val="页眉 Char"/>
    <w:link w:val="9"/>
    <w:semiHidden/>
    <w:locked/>
    <w:uiPriority w:val="99"/>
    <w:rPr>
      <w:sz w:val="18"/>
    </w:rPr>
  </w:style>
  <w:style w:type="character" w:customStyle="1" w:styleId="26">
    <w:name w:val="页脚 Char"/>
    <w:link w:val="8"/>
    <w:locked/>
    <w:uiPriority w:val="99"/>
    <w:rPr>
      <w:sz w:val="18"/>
    </w:rPr>
  </w:style>
  <w:style w:type="character" w:customStyle="1" w:styleId="27">
    <w:name w:val="正文文本 Char"/>
    <w:link w:val="5"/>
    <w:locked/>
    <w:uiPriority w:val="99"/>
    <w:rPr>
      <w:rFonts w:ascii="仿宋_GB2312" w:hAnsi="Times New Roman" w:eastAsia="仿宋_GB2312"/>
      <w:sz w:val="24"/>
    </w:rPr>
  </w:style>
  <w:style w:type="paragraph" w:customStyle="1" w:styleId="28">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批注框文本 Char"/>
    <w:basedOn w:val="15"/>
    <w:link w:val="7"/>
    <w:semiHidden/>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17865199671538"/>
          <c:y val="0.192603257926093"/>
          <c:w val="0.667203288648421"/>
          <c:h val="0.706458692663418"/>
        </c:manualLayout>
      </c:layout>
      <c:barChart>
        <c:barDir val="col"/>
        <c:grouping val="clustered"/>
        <c:varyColors val="0"/>
        <c:ser>
          <c:idx val="0"/>
          <c:order val="0"/>
          <c:tx>
            <c:strRef>
              <c:f>Sheet1!$B$1</c:f>
              <c:strCache>
                <c:ptCount val="1"/>
                <c:pt idx="0">
                  <c:v>收支决算总计变动（万元）</c:v>
                </c:pt>
              </c:strCache>
            </c:strRef>
          </c:tx>
          <c:invertIfNegative val="0"/>
          <c:dLbls>
            <c:delete val="1"/>
          </c:dLbls>
          <c:cat>
            <c:strRef>
              <c:f>Sheet1!$A$2:$A$3</c:f>
              <c:strCache>
                <c:ptCount val="2"/>
                <c:pt idx="0">
                  <c:v>2017年</c:v>
                </c:pt>
                <c:pt idx="1">
                  <c:v>2018年</c:v>
                </c:pt>
              </c:strCache>
            </c:strRef>
          </c:cat>
          <c:val>
            <c:numRef>
              <c:f>Sheet1!$B$2:$B$3</c:f>
              <c:numCache>
                <c:formatCode>General</c:formatCode>
                <c:ptCount val="2"/>
                <c:pt idx="0">
                  <c:v>1726.52</c:v>
                </c:pt>
                <c:pt idx="1">
                  <c:v>2066.09</c:v>
                </c:pt>
              </c:numCache>
            </c:numRef>
          </c:val>
        </c:ser>
        <c:dLbls>
          <c:showLegendKey val="0"/>
          <c:showVal val="0"/>
          <c:showCatName val="0"/>
          <c:showSerName val="0"/>
          <c:showPercent val="0"/>
          <c:showBubbleSize val="0"/>
        </c:dLbls>
        <c:gapWidth val="150"/>
        <c:axId val="76941184"/>
        <c:axId val="76942720"/>
      </c:barChart>
      <c:catAx>
        <c:axId val="76941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942720"/>
        <c:crosses val="autoZero"/>
        <c:auto val="1"/>
        <c:lblAlgn val="ctr"/>
        <c:lblOffset val="100"/>
        <c:noMultiLvlLbl val="0"/>
      </c:catAx>
      <c:valAx>
        <c:axId val="769427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941184"/>
        <c:crosses val="autoZero"/>
        <c:crossBetween val="between"/>
      </c:valAx>
    </c:plotArea>
    <c:legend>
      <c:legendPos val="r"/>
      <c:layout>
        <c:manualLayout>
          <c:xMode val="edge"/>
          <c:yMode val="edge"/>
          <c:x val="0.81577866106468"/>
          <c:y val="0.504728242303046"/>
          <c:w val="0.16886625256296"/>
          <c:h val="0.12768603924509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本年收入（万元）</c:v>
                </c:pt>
              </c:strCache>
            </c:strRef>
          </c:tx>
          <c:explosion val="0"/>
          <c:dPt>
            <c:idx val="0"/>
            <c:bubble3D val="0"/>
          </c:dPt>
          <c:dPt>
            <c:idx val="1"/>
            <c:bubble3D val="0"/>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1441.44</c:v>
                </c:pt>
                <c:pt idx="1">
                  <c:v>298.18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本年支出（万元）</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1410.27</c:v>
                </c:pt>
                <c:pt idx="1">
                  <c:v>247.02</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财政拨款收支总计（万元）</c:v>
                </c:pt>
              </c:strCache>
            </c:strRef>
          </c:tx>
          <c:invertIfNegative val="0"/>
          <c:dLbls>
            <c:delete val="1"/>
          </c:dLbls>
          <c:cat>
            <c:strRef>
              <c:f>Sheet1!$A$2:$A$3</c:f>
              <c:strCache>
                <c:ptCount val="2"/>
                <c:pt idx="0">
                  <c:v>2017年</c:v>
                </c:pt>
                <c:pt idx="1">
                  <c:v>2018年</c:v>
                </c:pt>
              </c:strCache>
            </c:strRef>
          </c:cat>
          <c:val>
            <c:numRef>
              <c:f>Sheet1!$B$2:$B$3</c:f>
              <c:numCache>
                <c:formatCode>General</c:formatCode>
                <c:ptCount val="2"/>
                <c:pt idx="0">
                  <c:v>1709.77</c:v>
                </c:pt>
                <c:pt idx="1">
                  <c:v>1767.92</c:v>
                </c:pt>
              </c:numCache>
            </c:numRef>
          </c:val>
        </c:ser>
        <c:dLbls>
          <c:showLegendKey val="0"/>
          <c:showVal val="0"/>
          <c:showCatName val="0"/>
          <c:showSerName val="0"/>
          <c:showPercent val="0"/>
          <c:showBubbleSize val="0"/>
        </c:dLbls>
        <c:gapWidth val="150"/>
        <c:axId val="44159360"/>
        <c:axId val="44160896"/>
      </c:barChart>
      <c:catAx>
        <c:axId val="441593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160896"/>
        <c:crosses val="autoZero"/>
        <c:auto val="1"/>
        <c:lblAlgn val="ctr"/>
        <c:lblOffset val="100"/>
        <c:noMultiLvlLbl val="0"/>
      </c:catAx>
      <c:valAx>
        <c:axId val="441608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1593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一般公共预算财政拨款支出（万元）</c:v>
                </c:pt>
              </c:strCache>
            </c:strRef>
          </c:tx>
          <c:invertIfNegative val="0"/>
          <c:dLbls>
            <c:delete val="1"/>
          </c:dLbls>
          <c:cat>
            <c:strRef>
              <c:f>Sheet1!$A$2:$A$3</c:f>
              <c:strCache>
                <c:ptCount val="2"/>
                <c:pt idx="0">
                  <c:v>2017年</c:v>
                </c:pt>
                <c:pt idx="1">
                  <c:v>2018年</c:v>
                </c:pt>
              </c:strCache>
            </c:strRef>
          </c:cat>
          <c:val>
            <c:numRef>
              <c:f>Sheet1!$B$2:$B$3</c:f>
              <c:numCache>
                <c:formatCode>General</c:formatCode>
                <c:ptCount val="2"/>
                <c:pt idx="0">
                  <c:v>1353.18</c:v>
                </c:pt>
                <c:pt idx="1">
                  <c:v>1359.11</c:v>
                </c:pt>
              </c:numCache>
            </c:numRef>
          </c:val>
        </c:ser>
        <c:dLbls>
          <c:showLegendKey val="0"/>
          <c:showVal val="0"/>
          <c:showCatName val="0"/>
          <c:showSerName val="0"/>
          <c:showPercent val="0"/>
          <c:showBubbleSize val="0"/>
        </c:dLbls>
        <c:gapWidth val="150"/>
        <c:axId val="84019072"/>
        <c:axId val="84020608"/>
      </c:barChart>
      <c:catAx>
        <c:axId val="840190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020608"/>
        <c:crosses val="autoZero"/>
        <c:auto val="1"/>
        <c:lblAlgn val="ctr"/>
        <c:lblOffset val="100"/>
        <c:noMultiLvlLbl val="0"/>
      </c:catAx>
      <c:valAx>
        <c:axId val="840206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0190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一般公共财政拨款支出（万元）</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一般公共服务类支出</c:v>
                </c:pt>
                <c:pt idx="1">
                  <c:v>社会保障和就业类支出</c:v>
                </c:pt>
                <c:pt idx="2">
                  <c:v>医疗卫生与计划生育支出</c:v>
                </c:pt>
                <c:pt idx="3">
                  <c:v>住房保障支出</c:v>
                </c:pt>
              </c:strCache>
            </c:strRef>
          </c:cat>
          <c:val>
            <c:numRef>
              <c:f>Sheet1!$B$2:$B$5</c:f>
              <c:numCache>
                <c:formatCode>General</c:formatCode>
                <c:ptCount val="4"/>
                <c:pt idx="0">
                  <c:v>1146.78</c:v>
                </c:pt>
                <c:pt idx="1">
                  <c:v>100.58</c:v>
                </c:pt>
                <c:pt idx="2">
                  <c:v>37.66</c:v>
                </c:pt>
                <c:pt idx="3">
                  <c:v>74.09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“三公”经费（万元）</c:v>
                </c:pt>
              </c:strCache>
            </c:strRef>
          </c:tx>
          <c:explosion val="0"/>
          <c:dPt>
            <c:idx val="0"/>
            <c:bubble3D val="0"/>
          </c:dPt>
          <c:dPt>
            <c:idx val="1"/>
            <c:bubble3D val="0"/>
          </c:dPt>
          <c:dPt>
            <c:idx val="2"/>
            <c:bubble3D val="0"/>
          </c:dPt>
          <c:dLbls>
            <c:delete val="1"/>
          </c:dLbls>
          <c:cat>
            <c:strRef>
              <c:f>Sheet1!$A$2:$A$4</c:f>
              <c:strCache>
                <c:ptCount val="3"/>
                <c:pt idx="0">
                  <c:v>公务用车购置及运行维护费</c:v>
                </c:pt>
                <c:pt idx="1">
                  <c:v>公务接待费</c:v>
                </c:pt>
                <c:pt idx="2">
                  <c:v>因公出国费</c:v>
                </c:pt>
              </c:strCache>
            </c:strRef>
          </c:cat>
          <c:val>
            <c:numRef>
              <c:f>Sheet1!$B$2:$B$4</c:f>
              <c:numCache>
                <c:formatCode>General</c:formatCode>
                <c:ptCount val="3"/>
                <c:pt idx="0">
                  <c:v>12.75</c:v>
                </c:pt>
                <c:pt idx="1">
                  <c:v>2.1</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A629BC-B470-49DF-83FB-88EC48C5D7A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15161</Words>
  <Characters>15928</Characters>
  <Lines>27</Lines>
  <Paragraphs>36</Paragraphs>
  <TotalTime>9721</TotalTime>
  <ScaleCrop>false</ScaleCrop>
  <LinksUpToDate>false</LinksUpToDate>
  <CharactersWithSpaces>16005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2019-09-10T08:22:00Z</dcterms:created>
  <dc:creator>张彬茜</dc:creator>
  <cp:lastModifiedBy>市司法局办公室</cp:lastModifiedBy>
  <cp:lastPrinted>2019-08-01T00:48:00Z</cp:lastPrinted>
  <dcterms:modified xsi:type="dcterms:W3CDTF">2023-07-14T09:34:57Z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A9D6C53AB51C4D63B8CFC6D176D9CC52_12</vt:lpwstr>
  </property>
</Properties>
</file>