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宋体" w:eastAsia="方正小标宋简体"/>
          <w:color w:val="000000"/>
          <w:sz w:val="72"/>
          <w:szCs w:val="72"/>
        </w:rPr>
      </w:pPr>
      <w:bookmarkStart w:id="0" w:name="_Toc15306267"/>
    </w:p>
    <w:p>
      <w:pPr>
        <w:jc w:val="center"/>
        <w:outlineLvl w:val="0"/>
        <w:rPr>
          <w:rFonts w:ascii="方正小标宋简体" w:hAnsi="宋体" w:eastAsia="方正小标宋简体"/>
          <w:color w:val="000000"/>
          <w:sz w:val="72"/>
          <w:szCs w:val="72"/>
        </w:rPr>
      </w:pPr>
    </w:p>
    <w:p>
      <w:pPr>
        <w:jc w:val="center"/>
        <w:outlineLvl w:val="0"/>
        <w:rPr>
          <w:rFonts w:ascii="方正小标宋简体" w:hAnsi="宋体" w:eastAsia="方正小标宋简体"/>
          <w:color w:val="000000"/>
          <w:sz w:val="72"/>
          <w:szCs w:val="72"/>
        </w:rPr>
      </w:pPr>
    </w:p>
    <w:p>
      <w:pPr>
        <w:jc w:val="center"/>
        <w:outlineLvl w:val="0"/>
        <w:rPr>
          <w:rFonts w:ascii="方正小标宋简体" w:hAnsi="宋体" w:eastAsia="方正小标宋简体"/>
          <w:color w:val="000000"/>
          <w:sz w:val="72"/>
          <w:szCs w:val="72"/>
        </w:rPr>
      </w:pPr>
    </w:p>
    <w:p>
      <w:pPr>
        <w:adjustRightInd w:val="0"/>
        <w:snapToGrid w:val="0"/>
        <w:jc w:val="center"/>
        <w:outlineLvl w:val="0"/>
        <w:rPr>
          <w:rFonts w:ascii="方正小标宋简体" w:hAnsi="宋体" w:eastAsia="方正小标宋简体"/>
          <w:color w:val="000000"/>
          <w:sz w:val="72"/>
          <w:szCs w:val="72"/>
        </w:rPr>
      </w:pPr>
      <w:bookmarkStart w:id="1" w:name="_Toc15377425"/>
      <w:bookmarkStart w:id="2" w:name="_Toc15396597"/>
      <w:bookmarkStart w:id="3" w:name="_Toc15396475"/>
      <w:bookmarkStart w:id="4" w:name="_Toc15377193"/>
      <w:bookmarkStart w:id="5" w:name="_Toc15378441"/>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jc w:val="center"/>
        <w:outlineLvl w:val="0"/>
        <w:rPr>
          <w:rFonts w:ascii="方正小标宋简体" w:hAnsi="宋体" w:eastAsia="方正小标宋简体"/>
          <w:color w:val="000000"/>
          <w:sz w:val="72"/>
          <w:szCs w:val="72"/>
        </w:rPr>
      </w:pPr>
      <w:bookmarkStart w:id="6" w:name="_Toc15377426"/>
      <w:bookmarkStart w:id="7" w:name="_Toc15377194"/>
      <w:bookmarkStart w:id="8" w:name="_Toc15378442"/>
      <w:bookmarkStart w:id="9" w:name="_Toc15396476"/>
      <w:bookmarkStart w:id="10" w:name="_Toc15396598"/>
      <w:r>
        <w:rPr>
          <w:rFonts w:hint="eastAsia" w:ascii="方正小标宋简体" w:hAnsi="宋体" w:eastAsia="方正小标宋简体"/>
          <w:color w:val="000000"/>
          <w:sz w:val="72"/>
          <w:szCs w:val="72"/>
        </w:rPr>
        <w:t>遂宁市</w:t>
      </w:r>
      <w:bookmarkEnd w:id="0"/>
      <w:bookmarkStart w:id="11" w:name="_Toc15306268"/>
      <w:r>
        <w:rPr>
          <w:rFonts w:hint="eastAsia" w:ascii="方正小标宋简体" w:hAnsi="宋体" w:eastAsia="方正小标宋简体"/>
          <w:color w:val="000000"/>
          <w:sz w:val="72"/>
          <w:szCs w:val="72"/>
        </w:rPr>
        <w:t>人民政府法制办公室部门决算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2019</w:t>
      </w:r>
      <w:r>
        <w:rPr>
          <w:rFonts w:hint="eastAsia"/>
        </w:rPr>
        <w:t>年</w:t>
      </w:r>
      <w:r>
        <w:t>9</w:t>
      </w:r>
      <w:r>
        <w:rPr>
          <w:rFonts w:hint="eastAsia"/>
        </w:rPr>
        <w:t>月</w:t>
      </w:r>
      <w:r>
        <w:t>17</w:t>
      </w:r>
      <w:r>
        <w:rPr>
          <w:rFonts w:hint="eastAsia"/>
        </w:rPr>
        <w:t>日</w:t>
      </w:r>
    </w:p>
    <w:p/>
    <w:p>
      <w:pPr>
        <w:pStyle w:val="10"/>
      </w:pPr>
      <w:r>
        <w:fldChar w:fldCharType="begin"/>
      </w:r>
      <w:r>
        <w:instrText xml:space="preserve"> HYPERLINK \l "_Toc15396599" </w:instrText>
      </w:r>
      <w:r>
        <w:fldChar w:fldCharType="separate"/>
      </w:r>
      <w:r>
        <w:rPr>
          <w:rStyle w:val="18"/>
          <w:rFonts w:hint="eastAsia"/>
        </w:rPr>
        <w:t>第一部分部门概况</w:t>
      </w:r>
      <w:r>
        <w:tab/>
      </w:r>
      <w:r>
        <w:t>4</w:t>
      </w:r>
      <w:r>
        <w:fldChar w:fldCharType="end"/>
      </w:r>
    </w:p>
    <w:p>
      <w:pPr>
        <w:pStyle w:val="11"/>
      </w:pPr>
      <w:r>
        <w:fldChar w:fldCharType="begin"/>
      </w:r>
      <w:r>
        <w:instrText xml:space="preserve"> HYPERLINK \l "_Toc15396600" </w:instrText>
      </w:r>
      <w:r>
        <w:fldChar w:fldCharType="separate"/>
      </w:r>
      <w:r>
        <w:rPr>
          <w:rStyle w:val="18"/>
          <w:rFonts w:hint="eastAsia"/>
        </w:rPr>
        <w:t>一、基本职能及主要工作</w:t>
      </w:r>
      <w:r>
        <w:tab/>
      </w:r>
      <w:r>
        <w:t>4</w:t>
      </w:r>
      <w:r>
        <w:fldChar w:fldCharType="end"/>
      </w:r>
    </w:p>
    <w:p>
      <w:pPr>
        <w:pStyle w:val="11"/>
      </w:pPr>
      <w:r>
        <w:fldChar w:fldCharType="begin"/>
      </w:r>
      <w:r>
        <w:instrText xml:space="preserve"> HYPERLINK \l "_Toc15396601" </w:instrText>
      </w:r>
      <w:r>
        <w:fldChar w:fldCharType="separate"/>
      </w:r>
      <w:r>
        <w:rPr>
          <w:rStyle w:val="18"/>
          <w:rFonts w:hint="eastAsia"/>
        </w:rPr>
        <w:t>二、机构设置</w:t>
      </w:r>
      <w:r>
        <w:tab/>
      </w:r>
      <w:r>
        <w:fldChar w:fldCharType="begin"/>
      </w:r>
      <w:r>
        <w:instrText xml:space="preserve"> PAGEREF _Toc15396601 \h </w:instrText>
      </w:r>
      <w:r>
        <w:fldChar w:fldCharType="separate"/>
      </w:r>
      <w:r>
        <w:t>4</w:t>
      </w:r>
      <w:r>
        <w:fldChar w:fldCharType="end"/>
      </w:r>
      <w:r>
        <w:fldChar w:fldCharType="end"/>
      </w:r>
    </w:p>
    <w:p>
      <w:pPr>
        <w:pStyle w:val="10"/>
      </w:pPr>
      <w:r>
        <w:fldChar w:fldCharType="begin"/>
      </w:r>
      <w:r>
        <w:instrText xml:space="preserve"> HYPERLINK \l "_Toc15396602" </w:instrText>
      </w:r>
      <w:r>
        <w:fldChar w:fldCharType="separate"/>
      </w:r>
      <w:r>
        <w:rPr>
          <w:rStyle w:val="18"/>
          <w:rFonts w:hint="eastAsia"/>
        </w:rPr>
        <w:t>第二部分</w:t>
      </w:r>
      <w:r>
        <w:rPr>
          <w:rStyle w:val="18"/>
        </w:rPr>
        <w:t xml:space="preserve"> 2018</w:t>
      </w:r>
      <w:r>
        <w:rPr>
          <w:rStyle w:val="18"/>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pPr>
      <w:r>
        <w:fldChar w:fldCharType="begin"/>
      </w:r>
      <w:r>
        <w:instrText xml:space="preserve"> HYPERLINK \l "_Toc15396603" </w:instrText>
      </w:r>
      <w:r>
        <w:fldChar w:fldCharType="separate"/>
      </w:r>
      <w:r>
        <w:rPr>
          <w:rStyle w:val="18"/>
          <w:rFonts w:hint="eastAsia"/>
          <w:bCs/>
        </w:rPr>
        <w:t>一、</w:t>
      </w:r>
      <w:r>
        <w:rPr>
          <w:rStyle w:val="18"/>
          <w:rFonts w:hint="eastAsia"/>
        </w:rPr>
        <w:t>收</w:t>
      </w:r>
      <w:r>
        <w:rPr>
          <w:rStyle w:val="18"/>
          <w:rFonts w:hint="eastAsia"/>
          <w:bCs/>
        </w:rPr>
        <w:t>入支出决算总体情况说明</w:t>
      </w:r>
      <w:r>
        <w:tab/>
      </w:r>
      <w:r>
        <w:fldChar w:fldCharType="begin"/>
      </w:r>
      <w:r>
        <w:instrText xml:space="preserve"> PAGEREF _Toc15396603 \h </w:instrText>
      </w:r>
      <w:r>
        <w:fldChar w:fldCharType="separate"/>
      </w:r>
      <w:r>
        <w:t>5</w:t>
      </w:r>
      <w:r>
        <w:fldChar w:fldCharType="end"/>
      </w:r>
      <w:r>
        <w:fldChar w:fldCharType="end"/>
      </w:r>
    </w:p>
    <w:p>
      <w:pPr>
        <w:pStyle w:val="11"/>
      </w:pPr>
      <w:r>
        <w:fldChar w:fldCharType="begin"/>
      </w:r>
      <w:r>
        <w:instrText xml:space="preserve"> HYPERLINK \l "_Toc15396604" </w:instrText>
      </w:r>
      <w:r>
        <w:fldChar w:fldCharType="separate"/>
      </w:r>
      <w:r>
        <w:rPr>
          <w:rStyle w:val="18"/>
          <w:rFonts w:hint="eastAsia"/>
          <w:bCs/>
        </w:rPr>
        <w:t>二、</w:t>
      </w:r>
      <w:r>
        <w:rPr>
          <w:rStyle w:val="18"/>
          <w:rFonts w:hint="eastAsia"/>
        </w:rPr>
        <w:t>收</w:t>
      </w:r>
      <w:r>
        <w:rPr>
          <w:rStyle w:val="18"/>
          <w:rFonts w:hint="eastAsia"/>
          <w:bCs/>
        </w:rPr>
        <w:t>入决算情况说明</w:t>
      </w:r>
      <w:r>
        <w:tab/>
      </w:r>
      <w:r>
        <w:fldChar w:fldCharType="begin"/>
      </w:r>
      <w:r>
        <w:instrText xml:space="preserve"> PAGEREF _Toc15396604 \h </w:instrText>
      </w:r>
      <w:r>
        <w:fldChar w:fldCharType="separate"/>
      </w:r>
      <w:r>
        <w:t>5</w:t>
      </w:r>
      <w:r>
        <w:fldChar w:fldCharType="end"/>
      </w:r>
      <w:r>
        <w:fldChar w:fldCharType="end"/>
      </w:r>
    </w:p>
    <w:p>
      <w:pPr>
        <w:pStyle w:val="11"/>
      </w:pPr>
      <w:r>
        <w:fldChar w:fldCharType="begin"/>
      </w:r>
      <w:r>
        <w:instrText xml:space="preserve"> HYPERLINK \l "_Toc15396605" </w:instrText>
      </w:r>
      <w:r>
        <w:fldChar w:fldCharType="separate"/>
      </w:r>
      <w:r>
        <w:rPr>
          <w:rStyle w:val="18"/>
          <w:rFonts w:hint="eastAsia"/>
          <w:bCs/>
        </w:rPr>
        <w:t>三、</w:t>
      </w:r>
      <w:r>
        <w:rPr>
          <w:rStyle w:val="18"/>
          <w:rFonts w:hint="eastAsia"/>
        </w:rPr>
        <w:t>支</w:t>
      </w:r>
      <w:r>
        <w:rPr>
          <w:rStyle w:val="18"/>
          <w:rFonts w:hint="eastAsia"/>
          <w:bCs/>
        </w:rPr>
        <w:t>出决算情况说明</w:t>
      </w:r>
      <w:r>
        <w:tab/>
      </w:r>
      <w:r>
        <w:fldChar w:fldCharType="begin"/>
      </w:r>
      <w:r>
        <w:instrText xml:space="preserve"> PAGEREF _Toc15396605 \h </w:instrText>
      </w:r>
      <w:r>
        <w:fldChar w:fldCharType="separate"/>
      </w:r>
      <w:r>
        <w:t>5</w:t>
      </w:r>
      <w:r>
        <w:fldChar w:fldCharType="end"/>
      </w:r>
      <w:r>
        <w:fldChar w:fldCharType="end"/>
      </w:r>
    </w:p>
    <w:p>
      <w:pPr>
        <w:pStyle w:val="11"/>
      </w:pPr>
      <w:r>
        <w:fldChar w:fldCharType="begin"/>
      </w:r>
      <w:r>
        <w:instrText xml:space="preserve"> HYPERLINK \l "_Toc15396606" </w:instrText>
      </w:r>
      <w:r>
        <w:fldChar w:fldCharType="separate"/>
      </w:r>
      <w:r>
        <w:rPr>
          <w:rStyle w:val="18"/>
          <w:rFonts w:hint="eastAsia"/>
        </w:rPr>
        <w:t>四、财</w:t>
      </w:r>
      <w:r>
        <w:rPr>
          <w:rStyle w:val="18"/>
          <w:rFonts w:hint="eastAsia"/>
          <w:bCs/>
        </w:rPr>
        <w:t>政拨款收入支出决算总体情况说明</w:t>
      </w:r>
      <w:r>
        <w:tab/>
      </w:r>
      <w:r>
        <w:fldChar w:fldCharType="begin"/>
      </w:r>
      <w:r>
        <w:instrText xml:space="preserve"> PAGEREF _Toc15396606 \h </w:instrText>
      </w:r>
      <w:r>
        <w:fldChar w:fldCharType="separate"/>
      </w:r>
      <w:r>
        <w:t>6</w:t>
      </w:r>
      <w:r>
        <w:fldChar w:fldCharType="end"/>
      </w:r>
      <w:r>
        <w:fldChar w:fldCharType="end"/>
      </w:r>
    </w:p>
    <w:p>
      <w:pPr>
        <w:pStyle w:val="11"/>
      </w:pPr>
      <w:r>
        <w:fldChar w:fldCharType="begin"/>
      </w:r>
      <w:r>
        <w:instrText xml:space="preserve"> HYPERLINK \l "_Toc15396607" </w:instrText>
      </w:r>
      <w:r>
        <w:fldChar w:fldCharType="separate"/>
      </w:r>
      <w:r>
        <w:rPr>
          <w:rStyle w:val="18"/>
          <w:rFonts w:hint="eastAsia"/>
        </w:rPr>
        <w:t>五、一</w:t>
      </w:r>
      <w:r>
        <w:rPr>
          <w:rStyle w:val="18"/>
          <w:rFonts w:hint="eastAsia"/>
          <w:bCs/>
        </w:rPr>
        <w:t>般公共预算财政拨款支出决算情况说明</w:t>
      </w:r>
      <w:r>
        <w:tab/>
      </w:r>
      <w:r>
        <w:fldChar w:fldCharType="begin"/>
      </w:r>
      <w:r>
        <w:instrText xml:space="preserve"> PAGEREF _Toc15396607 \h </w:instrText>
      </w:r>
      <w:r>
        <w:fldChar w:fldCharType="separate"/>
      </w:r>
      <w:r>
        <w:t>6</w:t>
      </w:r>
      <w:r>
        <w:fldChar w:fldCharType="end"/>
      </w:r>
      <w:r>
        <w:fldChar w:fldCharType="end"/>
      </w:r>
    </w:p>
    <w:p>
      <w:pPr>
        <w:pStyle w:val="11"/>
      </w:pPr>
      <w:r>
        <w:fldChar w:fldCharType="begin"/>
      </w:r>
      <w:r>
        <w:instrText xml:space="preserve"> HYPERLINK \l "_Toc15396608" </w:instrText>
      </w:r>
      <w:r>
        <w:fldChar w:fldCharType="separate"/>
      </w:r>
      <w:r>
        <w:rPr>
          <w:rStyle w:val="18"/>
          <w:rFonts w:hint="eastAsia"/>
        </w:rPr>
        <w:t>六、一</w:t>
      </w:r>
      <w:r>
        <w:rPr>
          <w:rStyle w:val="18"/>
          <w:rFonts w:hint="eastAsia"/>
          <w:bCs/>
        </w:rPr>
        <w:t>般公共预算财政拨款基本支出决算情况说明</w:t>
      </w:r>
      <w:r>
        <w:tab/>
      </w:r>
      <w:r>
        <w:fldChar w:fldCharType="begin"/>
      </w:r>
      <w:r>
        <w:instrText xml:space="preserve"> PAGEREF _Toc15396608 \h </w:instrText>
      </w:r>
      <w:r>
        <w:fldChar w:fldCharType="separate"/>
      </w:r>
      <w:r>
        <w:t>8</w:t>
      </w:r>
      <w:r>
        <w:fldChar w:fldCharType="end"/>
      </w:r>
      <w:r>
        <w:fldChar w:fldCharType="end"/>
      </w:r>
    </w:p>
    <w:p>
      <w:pPr>
        <w:pStyle w:val="11"/>
      </w:pPr>
      <w:r>
        <w:fldChar w:fldCharType="begin"/>
      </w:r>
      <w:r>
        <w:instrText xml:space="preserve"> HYPERLINK \l "_Toc15396609" </w:instrText>
      </w:r>
      <w:r>
        <w:fldChar w:fldCharType="separate"/>
      </w:r>
      <w:r>
        <w:rPr>
          <w:rStyle w:val="18"/>
          <w:rFonts w:hint="eastAsia"/>
        </w:rPr>
        <w:t>七、“</w:t>
      </w:r>
      <w:r>
        <w:rPr>
          <w:rStyle w:val="18"/>
          <w:rFonts w:hint="eastAsia"/>
          <w:bCs/>
        </w:rPr>
        <w:t>三公”经费财政拨款支出决算情况说明</w:t>
      </w:r>
      <w:r>
        <w:tab/>
      </w:r>
      <w:r>
        <w:fldChar w:fldCharType="begin"/>
      </w:r>
      <w:r>
        <w:instrText xml:space="preserve"> PAGEREF _Toc15396609 \h </w:instrText>
      </w:r>
      <w:r>
        <w:fldChar w:fldCharType="separate"/>
      </w:r>
      <w:r>
        <w:t>9</w:t>
      </w:r>
      <w:r>
        <w:fldChar w:fldCharType="end"/>
      </w:r>
      <w:r>
        <w:fldChar w:fldCharType="end"/>
      </w:r>
    </w:p>
    <w:p>
      <w:pPr>
        <w:pStyle w:val="11"/>
      </w:pPr>
      <w:r>
        <w:fldChar w:fldCharType="begin"/>
      </w:r>
      <w:r>
        <w:instrText xml:space="preserve"> HYPERLINK \l "_Toc15396610" </w:instrText>
      </w:r>
      <w:r>
        <w:fldChar w:fldCharType="separate"/>
      </w:r>
      <w:r>
        <w:rPr>
          <w:rStyle w:val="18"/>
          <w:rFonts w:hint="eastAsia"/>
        </w:rPr>
        <w:t>八、</w:t>
      </w:r>
      <w:r>
        <w:rPr>
          <w:rStyle w:val="18"/>
          <w:rFonts w:hint="eastAsia"/>
          <w:bCs/>
        </w:rPr>
        <w:t>政府性基金预算支出决算情况说明</w:t>
      </w:r>
      <w:r>
        <w:tab/>
      </w:r>
      <w:r>
        <w:fldChar w:fldCharType="begin"/>
      </w:r>
      <w:r>
        <w:instrText xml:space="preserve"> PAGEREF _Toc15396610 \h </w:instrText>
      </w:r>
      <w:r>
        <w:fldChar w:fldCharType="separate"/>
      </w:r>
      <w:r>
        <w:t>10</w:t>
      </w:r>
      <w:r>
        <w:fldChar w:fldCharType="end"/>
      </w:r>
      <w:r>
        <w:fldChar w:fldCharType="end"/>
      </w:r>
    </w:p>
    <w:p>
      <w:pPr>
        <w:pStyle w:val="11"/>
      </w:pPr>
      <w:r>
        <w:fldChar w:fldCharType="begin"/>
      </w:r>
      <w:r>
        <w:instrText xml:space="preserve"> HYPERLINK \l "_Toc15396611" </w:instrText>
      </w:r>
      <w:r>
        <w:fldChar w:fldCharType="separate"/>
      </w:r>
      <w:r>
        <w:rPr>
          <w:rStyle w:val="18"/>
          <w:rFonts w:hint="eastAsia"/>
          <w:bCs/>
        </w:rPr>
        <w:t>九、</w:t>
      </w:r>
      <w:r>
        <w:rPr>
          <w:rStyle w:val="18"/>
        </w:rPr>
        <w:t xml:space="preserve"> </w:t>
      </w:r>
      <w:r>
        <w:rPr>
          <w:rStyle w:val="18"/>
          <w:rFonts w:hint="eastAsia"/>
        </w:rPr>
        <w:t>国</w:t>
      </w:r>
      <w:r>
        <w:rPr>
          <w:rStyle w:val="18"/>
          <w:rFonts w:hint="eastAsia"/>
          <w:bCs/>
        </w:rPr>
        <w:t>有资本经营预算支出决算情况说明</w:t>
      </w:r>
      <w:r>
        <w:tab/>
      </w:r>
      <w:r>
        <w:fldChar w:fldCharType="begin"/>
      </w:r>
      <w:r>
        <w:instrText xml:space="preserve"> PAGEREF _Toc15396611 \h </w:instrText>
      </w:r>
      <w:r>
        <w:fldChar w:fldCharType="separate"/>
      </w:r>
      <w:r>
        <w:t>10</w:t>
      </w:r>
      <w:r>
        <w:fldChar w:fldCharType="end"/>
      </w:r>
      <w:r>
        <w:fldChar w:fldCharType="end"/>
      </w:r>
    </w:p>
    <w:p>
      <w:pPr>
        <w:pStyle w:val="11"/>
        <w:rPr>
          <w:rStyle w:val="18"/>
          <w:bCs/>
          <w:color w:val="auto"/>
          <w:u w:val="none"/>
        </w:rPr>
      </w:pPr>
      <w:r>
        <w:rPr>
          <w:rStyle w:val="18"/>
          <w:rFonts w:hint="eastAsia"/>
          <w:bCs/>
          <w:color w:val="auto"/>
          <w:u w:val="none"/>
        </w:rPr>
        <w:t>十、</w:t>
      </w:r>
      <w:r>
        <w:rPr>
          <w:rStyle w:val="18"/>
          <w:bCs/>
          <w:color w:val="auto"/>
          <w:u w:val="none"/>
        </w:rPr>
        <w:t xml:space="preserve"> </w:t>
      </w:r>
      <w:r>
        <w:rPr>
          <w:rStyle w:val="18"/>
          <w:rFonts w:hint="eastAsia"/>
          <w:bCs/>
          <w:color w:val="auto"/>
          <w:u w:val="none"/>
        </w:rPr>
        <w:t>预算绩效情况说明</w:t>
      </w:r>
      <w:r>
        <w:rPr>
          <w:rStyle w:val="18"/>
          <w:bCs/>
          <w:color w:val="auto"/>
          <w:u w:val="none"/>
        </w:rPr>
        <w:tab/>
      </w:r>
      <w:r>
        <w:rPr>
          <w:rStyle w:val="18"/>
          <w:bCs/>
          <w:color w:val="auto"/>
          <w:u w:val="none"/>
        </w:rPr>
        <w:fldChar w:fldCharType="begin"/>
      </w:r>
      <w:r>
        <w:rPr>
          <w:rStyle w:val="18"/>
          <w:bCs/>
          <w:color w:val="auto"/>
          <w:u w:val="none"/>
        </w:rPr>
        <w:instrText xml:space="preserve"> PAGEREF _Toc15396611 \h </w:instrText>
      </w:r>
      <w:r>
        <w:rPr>
          <w:rStyle w:val="18"/>
          <w:bCs/>
          <w:color w:val="auto"/>
          <w:u w:val="none"/>
        </w:rPr>
        <w:fldChar w:fldCharType="separate"/>
      </w:r>
      <w:r>
        <w:rPr>
          <w:rStyle w:val="18"/>
          <w:bCs/>
          <w:color w:val="auto"/>
          <w:u w:val="none"/>
        </w:rPr>
        <w:t>11</w:t>
      </w:r>
      <w:r>
        <w:rPr>
          <w:rStyle w:val="18"/>
          <w:bCs/>
          <w:color w:val="auto"/>
          <w:u w:val="none"/>
        </w:rPr>
        <w:fldChar w:fldCharType="end"/>
      </w:r>
    </w:p>
    <w:p>
      <w:pPr>
        <w:pStyle w:val="11"/>
      </w:pPr>
      <w:r>
        <w:fldChar w:fldCharType="begin"/>
      </w:r>
      <w:r>
        <w:instrText xml:space="preserve"> HYPERLINK \l "_Toc15396612" </w:instrText>
      </w:r>
      <w:r>
        <w:fldChar w:fldCharType="separate"/>
      </w:r>
      <w:r>
        <w:rPr>
          <w:rStyle w:val="18"/>
          <w:rFonts w:hint="eastAsia"/>
        </w:rPr>
        <w:t>十</w:t>
      </w:r>
      <w:r>
        <w:rPr>
          <w:rStyle w:val="18"/>
          <w:rFonts w:hint="eastAsia"/>
          <w:bCs/>
        </w:rPr>
        <w:t>一、其他重要事项的情况说明</w:t>
      </w:r>
      <w:r>
        <w:tab/>
      </w:r>
      <w:r>
        <w:fldChar w:fldCharType="begin"/>
      </w:r>
      <w:r>
        <w:instrText xml:space="preserve"> PAGEREF _Toc15396612 \h </w:instrText>
      </w:r>
      <w:r>
        <w:fldChar w:fldCharType="separate"/>
      </w:r>
      <w:r>
        <w:t>14</w:t>
      </w:r>
      <w:r>
        <w:fldChar w:fldCharType="end"/>
      </w:r>
      <w:r>
        <w:fldChar w:fldCharType="end"/>
      </w:r>
    </w:p>
    <w:p>
      <w:pPr>
        <w:pStyle w:val="10"/>
      </w:pPr>
      <w:r>
        <w:fldChar w:fldCharType="begin"/>
      </w:r>
      <w:r>
        <w:instrText xml:space="preserve"> HYPERLINK \l "_Toc15396613" </w:instrText>
      </w:r>
      <w:r>
        <w:fldChar w:fldCharType="separate"/>
      </w:r>
      <w:r>
        <w:rPr>
          <w:rStyle w:val="18"/>
          <w:rFonts w:hint="eastAsia"/>
          <w:bCs/>
          <w:kern w:val="44"/>
        </w:rPr>
        <w:t>第三部分</w:t>
      </w:r>
      <w:r>
        <w:rPr>
          <w:rStyle w:val="18"/>
        </w:rPr>
        <w:t xml:space="preserve"> </w:t>
      </w:r>
      <w:r>
        <w:rPr>
          <w:rStyle w:val="18"/>
          <w:rFonts w:hint="eastAsia"/>
        </w:rPr>
        <w:t>名</w:t>
      </w:r>
      <w:r>
        <w:rPr>
          <w:rStyle w:val="18"/>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0"/>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pPr>
        <w:pStyle w:val="11"/>
      </w:pPr>
      <w:r>
        <w:fldChar w:fldCharType="begin"/>
      </w:r>
      <w:r>
        <w:instrText xml:space="preserve"> HYPERLINK \l "_Toc15396615" </w:instrText>
      </w:r>
      <w:r>
        <w:fldChar w:fldCharType="separate"/>
      </w:r>
      <w:r>
        <w:rPr>
          <w:rStyle w:val="18"/>
          <w:rFonts w:hint="eastAsia"/>
          <w:kern w:val="44"/>
        </w:rPr>
        <w:t>附件</w:t>
      </w:r>
      <w:r>
        <w:rPr>
          <w:rStyle w:val="18"/>
          <w:kern w:val="44"/>
        </w:rPr>
        <w:t>1</w:t>
      </w:r>
      <w:r>
        <w:tab/>
      </w:r>
      <w:r>
        <w:fldChar w:fldCharType="begin"/>
      </w:r>
      <w:r>
        <w:instrText xml:space="preserve"> PAGEREF _Toc15396615 \h </w:instrText>
      </w:r>
      <w:r>
        <w:fldChar w:fldCharType="separate"/>
      </w:r>
      <w:r>
        <w:t>19</w:t>
      </w:r>
      <w:r>
        <w:fldChar w:fldCharType="end"/>
      </w:r>
      <w:r>
        <w:fldChar w:fldCharType="end"/>
      </w:r>
    </w:p>
    <w:p>
      <w:pPr>
        <w:pStyle w:val="11"/>
      </w:pPr>
      <w:r>
        <w:fldChar w:fldCharType="begin"/>
      </w:r>
      <w:r>
        <w:instrText xml:space="preserve"> HYPERLINK \l "_Toc15396617" </w:instrText>
      </w:r>
      <w:r>
        <w:fldChar w:fldCharType="separate"/>
      </w:r>
      <w:r>
        <w:rPr>
          <w:rStyle w:val="18"/>
          <w:rFonts w:hint="eastAsia"/>
          <w:kern w:val="44"/>
        </w:rPr>
        <w:t>附件</w:t>
      </w:r>
      <w:r>
        <w:rPr>
          <w:rStyle w:val="18"/>
          <w:kern w:val="44"/>
        </w:rPr>
        <w:t>2</w:t>
      </w:r>
      <w:r>
        <w:tab/>
      </w:r>
      <w:r>
        <w:fldChar w:fldCharType="begin"/>
      </w:r>
      <w:r>
        <w:instrText xml:space="preserve"> PAGEREF _Toc15396617 \h </w:instrText>
      </w:r>
      <w:r>
        <w:fldChar w:fldCharType="separate"/>
      </w:r>
      <w:r>
        <w:t>21</w:t>
      </w:r>
      <w:r>
        <w:fldChar w:fldCharType="end"/>
      </w:r>
      <w:r>
        <w:fldChar w:fldCharType="end"/>
      </w:r>
    </w:p>
    <w:p>
      <w:pPr>
        <w:pStyle w:val="10"/>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五部分附表</w:t>
      </w:r>
      <w:r>
        <w:tab/>
      </w:r>
      <w:r>
        <w:fldChar w:fldCharType="begin"/>
      </w:r>
      <w:r>
        <w:instrText xml:space="preserve"> PAGEREF _Toc15396618 \h </w:instrText>
      </w:r>
      <w:r>
        <w:fldChar w:fldCharType="separate"/>
      </w:r>
      <w:r>
        <w:t>22</w:t>
      </w:r>
      <w:r>
        <w:fldChar w:fldCharType="end"/>
      </w:r>
      <w:r>
        <w:fldChar w:fldCharType="end"/>
      </w:r>
    </w:p>
    <w:p>
      <w:pPr>
        <w:pStyle w:val="11"/>
      </w:pPr>
      <w:r>
        <w:rPr>
          <w:rFonts w:hint="eastAsia"/>
        </w:rPr>
        <w:t>一、</w:t>
      </w:r>
      <w:r>
        <w:fldChar w:fldCharType="begin"/>
      </w:r>
      <w:r>
        <w:instrText xml:space="preserve"> HYPERLINK \l "_Toc15396619" </w:instrText>
      </w:r>
      <w:r>
        <w:fldChar w:fldCharType="separate"/>
      </w:r>
      <w:r>
        <w:rPr>
          <w:rStyle w:val="18"/>
          <w:rFonts w:hint="eastAsia"/>
        </w:rPr>
        <w:t>收入支出决算总表</w:t>
      </w:r>
      <w:r>
        <w:tab/>
      </w:r>
      <w:r>
        <w:fldChar w:fldCharType="begin"/>
      </w:r>
      <w:r>
        <w:instrText xml:space="preserve"> PAGEREF _Toc15396619 \h </w:instrText>
      </w:r>
      <w:r>
        <w:fldChar w:fldCharType="separate"/>
      </w:r>
      <w:r>
        <w:t>22</w:t>
      </w:r>
      <w:r>
        <w:fldChar w:fldCharType="end"/>
      </w:r>
      <w:r>
        <w:fldChar w:fldCharType="end"/>
      </w:r>
    </w:p>
    <w:p>
      <w:pPr>
        <w:pStyle w:val="11"/>
      </w:pPr>
      <w:r>
        <w:rPr>
          <w:rFonts w:hint="eastAsia"/>
        </w:rPr>
        <w:t>二、</w:t>
      </w:r>
      <w:r>
        <w:fldChar w:fldCharType="begin"/>
      </w:r>
      <w:r>
        <w:instrText xml:space="preserve"> HYPERLINK \l "_Toc15396620" </w:instrText>
      </w:r>
      <w:r>
        <w:fldChar w:fldCharType="separate"/>
      </w:r>
      <w:r>
        <w:rPr>
          <w:rStyle w:val="18"/>
          <w:rFonts w:hint="eastAsia"/>
        </w:rPr>
        <w:t>收入总表</w:t>
      </w:r>
      <w:r>
        <w:tab/>
      </w:r>
      <w:r>
        <w:fldChar w:fldCharType="begin"/>
      </w:r>
      <w:r>
        <w:instrText xml:space="preserve"> PAGEREF _Toc15396620 \h </w:instrText>
      </w:r>
      <w:r>
        <w:fldChar w:fldCharType="separate"/>
      </w:r>
      <w:r>
        <w:t>22</w:t>
      </w:r>
      <w:r>
        <w:fldChar w:fldCharType="end"/>
      </w:r>
      <w:r>
        <w:fldChar w:fldCharType="end"/>
      </w:r>
    </w:p>
    <w:p>
      <w:pPr>
        <w:pStyle w:val="11"/>
      </w:pPr>
      <w:r>
        <w:rPr>
          <w:rFonts w:hint="eastAsia"/>
        </w:rPr>
        <w:t>三、</w:t>
      </w:r>
      <w:r>
        <w:fldChar w:fldCharType="begin"/>
      </w:r>
      <w:r>
        <w:instrText xml:space="preserve"> HYPERLINK \l "_Toc15396621" </w:instrText>
      </w:r>
      <w:r>
        <w:fldChar w:fldCharType="separate"/>
      </w:r>
      <w:r>
        <w:rPr>
          <w:rStyle w:val="18"/>
          <w:rFonts w:hint="eastAsia"/>
        </w:rPr>
        <w:t>支出总表</w:t>
      </w:r>
      <w:r>
        <w:tab/>
      </w:r>
      <w:r>
        <w:fldChar w:fldCharType="begin"/>
      </w:r>
      <w:r>
        <w:instrText xml:space="preserve"> PAGEREF _Toc15396621 \h </w:instrText>
      </w:r>
      <w:r>
        <w:fldChar w:fldCharType="separate"/>
      </w:r>
      <w:r>
        <w:t>22</w:t>
      </w:r>
      <w:r>
        <w:fldChar w:fldCharType="end"/>
      </w:r>
      <w:r>
        <w:fldChar w:fldCharType="end"/>
      </w:r>
    </w:p>
    <w:p>
      <w:pPr>
        <w:pStyle w:val="11"/>
      </w:pPr>
      <w:r>
        <w:rPr>
          <w:rFonts w:hint="eastAsia"/>
        </w:rPr>
        <w:t>四、</w:t>
      </w:r>
      <w:r>
        <w:fldChar w:fldCharType="begin"/>
      </w:r>
      <w:r>
        <w:instrText xml:space="preserve"> HYPERLINK \l "_Toc15396622" </w:instrText>
      </w:r>
      <w:r>
        <w:fldChar w:fldCharType="separate"/>
      </w:r>
      <w:r>
        <w:rPr>
          <w:rStyle w:val="18"/>
          <w:rFonts w:hint="eastAsia"/>
        </w:rPr>
        <w:t>财政拨款收入支出决算总表</w:t>
      </w:r>
      <w:r>
        <w:tab/>
      </w:r>
      <w:r>
        <w:fldChar w:fldCharType="begin"/>
      </w:r>
      <w:r>
        <w:instrText xml:space="preserve"> PAGEREF _Toc15396622 \h </w:instrText>
      </w:r>
      <w:r>
        <w:fldChar w:fldCharType="separate"/>
      </w:r>
      <w:r>
        <w:t>22</w:t>
      </w:r>
      <w:r>
        <w:fldChar w:fldCharType="end"/>
      </w:r>
      <w:r>
        <w:fldChar w:fldCharType="end"/>
      </w:r>
    </w:p>
    <w:p>
      <w:pPr>
        <w:pStyle w:val="11"/>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tab/>
      </w:r>
      <w:r>
        <w:fldChar w:fldCharType="begin"/>
      </w:r>
      <w:r>
        <w:instrText xml:space="preserve"> PAGEREF _Toc15396623 \h </w:instrText>
      </w:r>
      <w:r>
        <w:fldChar w:fldCharType="separate"/>
      </w:r>
      <w:r>
        <w:t>22</w:t>
      </w:r>
      <w:r>
        <w:fldChar w:fldCharType="end"/>
      </w:r>
      <w:r>
        <w:fldChar w:fldCharType="end"/>
      </w:r>
    </w:p>
    <w:p>
      <w:pPr>
        <w:pStyle w:val="11"/>
      </w:pPr>
      <w:r>
        <w:rPr>
          <w:rFonts w:hint="eastAsia"/>
        </w:rPr>
        <w:t>六、</w:t>
      </w:r>
      <w:r>
        <w:fldChar w:fldCharType="begin"/>
      </w:r>
      <w:r>
        <w:instrText xml:space="preserve"> HYPERLINK \l "_Toc15396624" </w:instrText>
      </w:r>
      <w:r>
        <w:fldChar w:fldCharType="separate"/>
      </w:r>
      <w:r>
        <w:rPr>
          <w:rStyle w:val="18"/>
          <w:rFonts w:hint="eastAsia"/>
        </w:rPr>
        <w:t>一般公共预算财政拨款支出决算表</w:t>
      </w:r>
      <w:r>
        <w:tab/>
      </w:r>
      <w:r>
        <w:fldChar w:fldCharType="begin"/>
      </w:r>
      <w:r>
        <w:instrText xml:space="preserve"> PAGEREF _Toc15396624 \h </w:instrText>
      </w:r>
      <w:r>
        <w:fldChar w:fldCharType="separate"/>
      </w:r>
      <w:r>
        <w:t>22</w:t>
      </w:r>
      <w:r>
        <w:fldChar w:fldCharType="end"/>
      </w:r>
      <w:r>
        <w:fldChar w:fldCharType="end"/>
      </w:r>
    </w:p>
    <w:p>
      <w:pPr>
        <w:pStyle w:val="11"/>
      </w:pPr>
      <w:r>
        <w:rPr>
          <w:rFonts w:hint="eastAsia"/>
        </w:rPr>
        <w:t>七、</w:t>
      </w:r>
      <w:r>
        <w:fldChar w:fldCharType="begin"/>
      </w:r>
      <w:r>
        <w:instrText xml:space="preserve"> HYPERLINK \l "_Toc15396625" </w:instrText>
      </w:r>
      <w:r>
        <w:fldChar w:fldCharType="separate"/>
      </w:r>
      <w:r>
        <w:rPr>
          <w:rStyle w:val="18"/>
          <w:rFonts w:hint="eastAsia"/>
        </w:rPr>
        <w:t>一般公共预算财政拨款支出决算明细表</w:t>
      </w:r>
      <w:r>
        <w:tab/>
      </w:r>
      <w:r>
        <w:fldChar w:fldCharType="begin"/>
      </w:r>
      <w:r>
        <w:instrText xml:space="preserve"> PAGEREF _Toc15396625 \h </w:instrText>
      </w:r>
      <w:r>
        <w:fldChar w:fldCharType="separate"/>
      </w:r>
      <w:r>
        <w:t>22</w:t>
      </w:r>
      <w:r>
        <w:fldChar w:fldCharType="end"/>
      </w:r>
      <w:r>
        <w:fldChar w:fldCharType="end"/>
      </w:r>
    </w:p>
    <w:p>
      <w:pPr>
        <w:pStyle w:val="11"/>
      </w:pPr>
      <w:r>
        <w:rPr>
          <w:rFonts w:hint="eastAsia"/>
        </w:rPr>
        <w:t>八、</w:t>
      </w:r>
      <w:r>
        <w:fldChar w:fldCharType="begin"/>
      </w:r>
      <w:r>
        <w:instrText xml:space="preserve"> HYPERLINK \l "_Toc15396626" </w:instrText>
      </w:r>
      <w:r>
        <w:fldChar w:fldCharType="separate"/>
      </w:r>
      <w:r>
        <w:rPr>
          <w:rStyle w:val="18"/>
          <w:rFonts w:hint="eastAsia"/>
        </w:rPr>
        <w:t>一般公共预算财政拨款基本支出决算表</w:t>
      </w:r>
      <w:r>
        <w:tab/>
      </w:r>
      <w:r>
        <w:fldChar w:fldCharType="begin"/>
      </w:r>
      <w:r>
        <w:instrText xml:space="preserve"> PAGEREF _Toc15396626 \h </w:instrText>
      </w:r>
      <w:r>
        <w:fldChar w:fldCharType="separate"/>
      </w:r>
      <w:r>
        <w:t>22</w:t>
      </w:r>
      <w:r>
        <w:fldChar w:fldCharType="end"/>
      </w:r>
      <w:r>
        <w:fldChar w:fldCharType="end"/>
      </w:r>
    </w:p>
    <w:p>
      <w:pPr>
        <w:pStyle w:val="11"/>
      </w:pPr>
      <w:r>
        <w:rPr>
          <w:rFonts w:hint="eastAsia"/>
        </w:rPr>
        <w:t>九、</w:t>
      </w:r>
      <w:r>
        <w:fldChar w:fldCharType="begin"/>
      </w:r>
      <w:r>
        <w:instrText xml:space="preserve"> HYPERLINK \l "_Toc15396627" </w:instrText>
      </w:r>
      <w:r>
        <w:fldChar w:fldCharType="separate"/>
      </w:r>
      <w:r>
        <w:rPr>
          <w:rStyle w:val="18"/>
          <w:rFonts w:hint="eastAsia"/>
        </w:rPr>
        <w:t>一般公共预算财政拨款项目支出决算表</w:t>
      </w:r>
      <w:r>
        <w:tab/>
      </w:r>
      <w:r>
        <w:fldChar w:fldCharType="begin"/>
      </w:r>
      <w:r>
        <w:instrText xml:space="preserve"> PAGEREF _Toc15396627 \h </w:instrText>
      </w:r>
      <w:r>
        <w:fldChar w:fldCharType="separate"/>
      </w:r>
      <w:r>
        <w:t>22</w:t>
      </w:r>
      <w:r>
        <w:fldChar w:fldCharType="end"/>
      </w:r>
      <w:r>
        <w:fldChar w:fldCharType="end"/>
      </w:r>
    </w:p>
    <w:p>
      <w:pPr>
        <w:pStyle w:val="11"/>
      </w:pPr>
      <w:r>
        <w:rPr>
          <w:rFonts w:hint="eastAsia"/>
        </w:rPr>
        <w:t>十、</w:t>
      </w:r>
      <w:r>
        <w:fldChar w:fldCharType="begin"/>
      </w:r>
      <w:r>
        <w:instrText xml:space="preserve"> HYPERLINK \l "_Toc15396628" </w:instrText>
      </w:r>
      <w:r>
        <w:fldChar w:fldCharType="separate"/>
      </w:r>
      <w:r>
        <w:rPr>
          <w:rStyle w:val="18"/>
          <w:rFonts w:hint="eastAsia"/>
        </w:rPr>
        <w:t>一般公共预算财政拨款“三公”经费支出决算表</w:t>
      </w:r>
      <w:r>
        <w:tab/>
      </w:r>
      <w:r>
        <w:fldChar w:fldCharType="begin"/>
      </w:r>
      <w:r>
        <w:instrText xml:space="preserve"> PAGEREF _Toc15396628 \h </w:instrText>
      </w:r>
      <w:r>
        <w:fldChar w:fldCharType="separate"/>
      </w:r>
      <w:r>
        <w:t>22</w:t>
      </w:r>
      <w:r>
        <w:fldChar w:fldCharType="end"/>
      </w:r>
      <w:r>
        <w:fldChar w:fldCharType="end"/>
      </w:r>
    </w:p>
    <w:p>
      <w:pPr>
        <w:pStyle w:val="11"/>
      </w:pPr>
      <w:r>
        <w:rPr>
          <w:rFonts w:hint="eastAsia"/>
        </w:rPr>
        <w:t>十一、</w:t>
      </w:r>
      <w:r>
        <w:fldChar w:fldCharType="begin"/>
      </w:r>
      <w:r>
        <w:instrText xml:space="preserve"> HYPERLINK \l "_Toc15396629" </w:instrText>
      </w:r>
      <w:r>
        <w:fldChar w:fldCharType="separate"/>
      </w:r>
      <w:r>
        <w:rPr>
          <w:rStyle w:val="18"/>
          <w:rFonts w:hint="eastAsia"/>
        </w:rPr>
        <w:t>政府性基金预算财政拨款收入支出决算表</w:t>
      </w:r>
      <w:r>
        <w:tab/>
      </w:r>
      <w:r>
        <w:fldChar w:fldCharType="begin"/>
      </w:r>
      <w:r>
        <w:instrText xml:space="preserve"> PAGEREF _Toc15396629 \h </w:instrText>
      </w:r>
      <w:r>
        <w:fldChar w:fldCharType="separate"/>
      </w:r>
      <w:r>
        <w:t>22</w:t>
      </w:r>
      <w:r>
        <w:fldChar w:fldCharType="end"/>
      </w:r>
      <w:r>
        <w:fldChar w:fldCharType="end"/>
      </w:r>
    </w:p>
    <w:p>
      <w:pPr>
        <w:pStyle w:val="11"/>
      </w:pPr>
      <w:r>
        <w:rPr>
          <w:rFonts w:hint="eastAsia"/>
        </w:rPr>
        <w:t>十二、</w:t>
      </w:r>
      <w:r>
        <w:fldChar w:fldCharType="begin"/>
      </w:r>
      <w:r>
        <w:instrText xml:space="preserve"> HYPERLINK \l "_Toc15396630" </w:instrText>
      </w:r>
      <w:r>
        <w:fldChar w:fldCharType="separate"/>
      </w:r>
      <w:r>
        <w:rPr>
          <w:rStyle w:val="18"/>
          <w:rFonts w:hint="eastAsia"/>
        </w:rPr>
        <w:t>政府性基金预算财政拨款“三公”经费支出决算表</w:t>
      </w:r>
      <w:r>
        <w:tab/>
      </w:r>
      <w:r>
        <w:fldChar w:fldCharType="begin"/>
      </w:r>
      <w:r>
        <w:instrText xml:space="preserve"> PAGEREF _Toc15396630 \h </w:instrText>
      </w:r>
      <w:r>
        <w:fldChar w:fldCharType="separate"/>
      </w:r>
      <w:r>
        <w:t>22</w:t>
      </w:r>
      <w:r>
        <w:fldChar w:fldCharType="end"/>
      </w:r>
      <w:r>
        <w:fldChar w:fldCharType="end"/>
      </w:r>
    </w:p>
    <w:p>
      <w:pPr>
        <w:pStyle w:val="11"/>
        <w:rPr>
          <w:sz w:val="24"/>
        </w:rPr>
      </w:pPr>
      <w:r>
        <w:rPr>
          <w:rFonts w:hint="eastAsia"/>
        </w:rPr>
        <w:t>十三、</w:t>
      </w:r>
      <w:r>
        <w:fldChar w:fldCharType="begin"/>
      </w:r>
      <w:r>
        <w:instrText xml:space="preserve"> HYPERLINK \l "_Toc15396631" </w:instrText>
      </w:r>
      <w:r>
        <w:fldChar w:fldCharType="separate"/>
      </w:r>
      <w:r>
        <w:rPr>
          <w:rStyle w:val="18"/>
          <w:rFonts w:hint="eastAsia"/>
        </w:rPr>
        <w:t>国有资本经营预算支出决算表</w:t>
      </w:r>
      <w:r>
        <w:tab/>
      </w:r>
      <w:r>
        <w:fldChar w:fldCharType="begin"/>
      </w:r>
      <w:r>
        <w:instrText xml:space="preserve"> PAGEREF _Toc15396631 \h </w:instrText>
      </w:r>
      <w:r>
        <w:fldChar w:fldCharType="separate"/>
      </w:r>
      <w:r>
        <w:t>22</w:t>
      </w:r>
      <w:r>
        <w:fldChar w:fldCharType="end"/>
      </w:r>
      <w: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spacing w:line="240" w:lineRule="auto"/>
        <w:jc w:val="center"/>
        <w:rPr>
          <w:rStyle w:val="19"/>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9"/>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0"/>
          <w:rFonts w:ascii="黑体" w:hAnsi="黑体" w:eastAsia="黑体"/>
          <w:b w:val="0"/>
          <w:bCs w:val="0"/>
        </w:rPr>
      </w:pPr>
      <w:r>
        <w:rPr>
          <w:rFonts w:hint="eastAsia" w:ascii="黑体" w:hAnsi="黑体" w:eastAsia="黑体"/>
          <w:b w:val="0"/>
          <w:color w:val="000000"/>
        </w:rPr>
        <w:t>一、基</w:t>
      </w:r>
      <w:r>
        <w:rPr>
          <w:rStyle w:val="20"/>
          <w:rFonts w:hint="eastAsia" w:ascii="黑体" w:hAnsi="黑体" w:eastAsia="黑体"/>
          <w:b w:val="0"/>
          <w:bCs w:val="0"/>
        </w:rPr>
        <w:t>本职能及主要工作</w:t>
      </w:r>
    </w:p>
    <w:p>
      <w:pPr>
        <w:pStyle w:val="3"/>
        <w:ind w:firstLine="482" w:firstLineChars="150"/>
        <w:rPr>
          <w:rFonts w:ascii="仿宋" w:hAnsi="仿宋" w:eastAsia="仿宋"/>
          <w:b w:val="0"/>
          <w:bCs w:val="0"/>
        </w:rPr>
      </w:pPr>
      <w:r>
        <w:rPr>
          <w:rFonts w:hint="eastAsia" w:ascii="仿宋" w:hAnsi="仿宋" w:eastAsia="仿宋"/>
          <w:bCs w:val="0"/>
          <w:color w:val="000000"/>
        </w:rPr>
        <w:t>（一）主要职能。</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市政府法制办基本职能：贯彻执行国家依法行政工作的方针、政策和法律、法规，负责全市依法行政工作的组织协调和监督指导，研究依法行政和政府法治建设中出现的新情况、新问题，提出推进依法行政的具体措施和工作建议；拟订市政府年度规范性文件制定计划，经市政府批准后组织实施并督促指导；负责起草或组织起草重要的规范性文件草案，审查、协调、修改市政府有关部门和单位报送市政府审议的规范性文件草案，并向市政府常务会作规范性文件草案审核说明，组织、承办上级发送市政府征求意见的法律、法规、规章和规范性文件草案，并汇总上报修改意见；协调法律、法规、规章、规范性文件实施过程中的矛盾和冲突，负责有关法律、法规、规章和规范性文件实施中的指导；承办县（区）政府和市政府部门规范性文件的备案审查工作，负责市政府规范性文件向省政府和市人大常委会报送备案工作，负责市政府规范性文件、重大决策、重要行政措施发布前的合法性审查；监督、指导全市规范性文件审查及清理工作，组织清理市政府规范性文件，并对其中与新公布的法律、法规、规章和上级规定相抵触的文件，提出修改或废止的意见，依照规定编辑规范性文件汇编和部门执法所依据的法律、法规、规章以及规范性文件目录；负责清理市政府有关部门的文件，组织清理行政审批事项；依法开展行政执法监督工作，对行政执法部门（或单位）的具体行政行为实施日常监督检查，监督纠正本级政府工作部门和下级政府作出的违法或不当的行政行为，负责全市使用四川省行政执法证件、行政执法监督检查证件的颁发、审验和管理工作，负责对市政府各部门、县（区）政府法制工作人员和市政府各执法部门（单位）的行政执法人员的培训工作；研究行政处罚、行政许可、行政强制、行政审批、行政收费、行政执行、行政复议、行政诉讼、行政赔偿、行政调解等方面带有普遍性的问题，向市政府提出改进工作、完善制度的建议，拟订有关配套的文件和答复意见；指导、监督全市行政复议、行政应诉和行政赔偿工作，承办向市政府申请的行政复议、行政赔偿案件，代理市政府行政应诉案件、民事案件、行政赔偿案件，并按规定向省政府法制办上报全市政府法制工作、行政复议案件、应诉案件等报表；组织、协调、指导和监督推进相对集中行政处罚权工作；牵头负责全市行政调解的指导、督促和协调工作；负责组织实施市政府行政行为听证事项，对县（区）政府和市政府部门听证行为进行指导、监督；按照省政府法制办和省政府目标办的要求，负责组织实施我市全面推进依法行政工作和对县（区）人民政府、市政府所属工作部门进行依法行政目标考核；负责政府法制理论与实践的研究和交流，组织本系统干部培训、开展政府法制宣传、咨询工作；负责市政府法律顾问团的运行及指导市政府各部门法律顾问工作；指导管理协调全市仲裁业务工作。组织开展全市立法调研工作，编制市政府立法工作计划，经批准后组织实施并督促指导；起草或者组织起草重要的地方性法规草案和政府规章草案；组织承办中省交市政府办理的征求意见的法律、法规、规章草案，汇总上报修改意见；承办政府规章的立法解释工作以及其它与我市立法相关的工作。</w:t>
      </w:r>
    </w:p>
    <w:p>
      <w:pPr>
        <w:spacing w:line="576" w:lineRule="exact"/>
        <w:ind w:firstLine="640" w:firstLineChars="200"/>
        <w:rPr>
          <w:rFonts w:ascii="仿宋" w:hAnsi="仿宋" w:eastAsia="仿宋"/>
          <w:bCs/>
          <w:color w:val="000000"/>
          <w:sz w:val="32"/>
          <w:szCs w:val="32"/>
        </w:rPr>
      </w:pPr>
      <w:r>
        <w:rPr>
          <w:rFonts w:hint="eastAsia" w:ascii="仿宋" w:hAnsi="仿宋" w:eastAsia="仿宋"/>
          <w:sz w:val="32"/>
          <w:szCs w:val="32"/>
        </w:rPr>
        <w:t>仲裁办基本职能：宣传、贯彻《仲裁法》和相关法律法规，推行仲裁法律制度; 负责承办仲裁委员会主任会议、委员会会议、仲裁委员会换届及仲裁员的培训等工作;具体办理仲裁案件受理、仲裁文书送达、档案管理等程序性事务;收取和管理仲裁费用; 办理国务院、省政府、市政府法制部门和市委、市政府交办的有关工作;办理仲裁委员会交办的其他事务。</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4" w:name="_Toc15377199"/>
      <w:bookmarkStart w:id="15" w:name="_Toc15378446"/>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4"/>
      <w:bookmarkEnd w:id="15"/>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（一）加强组织领导，积极推进法治政府建设。</w:t>
      </w:r>
      <w:r>
        <w:rPr>
          <w:rFonts w:hint="eastAsia" w:ascii="仿宋_GB2312" w:eastAsia="仿宋_GB2312"/>
          <w:sz w:val="32"/>
          <w:szCs w:val="32"/>
        </w:rPr>
        <w:t>一是全面部署年度工作任务。提请市委印发《依法行政专项工作组2018年实施方案》，部署6大方面47项重点工作任务。二是强化典型示范。组织各级各部门深入开展示范创建活动，形成了示范先行、典型带动、整体推进的良好局面。三是强化能力提升。突出“关键少数”的引领示范作用，落实市政府常务会议学法制度，先后学习《统计法》《食品安全法》等11部法律法规。四是强化依法行政考核。印发《2018年对县(区)政府和市政府部门依法行政考核实施方案》，组织开展《纲要》《实施方案》贯彻落实情况中期督查。</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（二）深化“放管服”改革，不断优化改革发展环境。</w:t>
      </w:r>
      <w:r>
        <w:rPr>
          <w:rFonts w:hint="eastAsia" w:ascii="仿宋_GB2312" w:eastAsia="仿宋_GB2312"/>
          <w:sz w:val="32"/>
          <w:szCs w:val="32"/>
        </w:rPr>
        <w:t>一是深化相对集中许可权改革。在船山区、射洪县开展相对集中行政许可权改革试点，组建行政审批局，依法划转、统一行使行政许可事项，提升行政审批效能。二是完善权力清单制度。提请市政府对外公布37个市直部门5332项行政权力事项，对外公布31个部门292项行政许可事项。三是组织开展证明事项清理。提出建议取消44 项，建议保留 49项。四是全面推行“双随机</w:t>
      </w:r>
      <w:r>
        <w:rPr>
          <w:rFonts w:hint="eastAsia" w:ascii="仿宋_GB2312" w:eastAsia="仿宋_GB2312"/>
          <w:sz w:val="32"/>
          <w:szCs w:val="32"/>
          <w:lang w:eastAsia="zh-CN"/>
        </w:rPr>
        <w:t>、</w:t>
      </w:r>
      <w:bookmarkStart w:id="71" w:name="_GoBack"/>
      <w:bookmarkEnd w:id="71"/>
      <w:r>
        <w:rPr>
          <w:rFonts w:hint="eastAsia" w:ascii="仿宋_GB2312" w:eastAsia="仿宋_GB2312"/>
          <w:sz w:val="32"/>
          <w:szCs w:val="32"/>
        </w:rPr>
        <w:t>一公开”监管改革。各级各部门建立完善 “一单两库一细则”，并扎实开展抽查事项检查。</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（三）加强地方立法，服务全市经济社会发展。</w:t>
      </w:r>
      <w:r>
        <w:rPr>
          <w:rFonts w:hint="eastAsia" w:ascii="仿宋_GB2312" w:eastAsia="仿宋_GB2312"/>
          <w:sz w:val="32"/>
          <w:szCs w:val="32"/>
        </w:rPr>
        <w:t>一是积极参与《遂宁市城市管理条例》审议服务、解释说明、沟通协调，《条例》于今年7月1日正式施行。二是完善配套制度。提请市政府出台《关于印发&lt;遂宁市城市管理条例&gt;配套制度建设责任清单的通知》，拟制定十二项配套制度。对交警支队起草的《遂宁市电动自行车管理办法》进行了二审。三是加强培训宣传。完成《条例》释义，邀请省法制办王彬副主任、西南政法大学唐尧教授作专题讲座。四是全力推进《遂宁市观音湖保护条例》起草工作。面向社会公开征求意见、建议，举行立法开题座谈会，参与赴内江和西昌考察学习。目前，该条例已正式进入初稿形成阶段。</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（四）强化备案审查，提高制度建设质量。</w:t>
      </w:r>
      <w:r>
        <w:rPr>
          <w:rFonts w:hint="eastAsia" w:ascii="仿宋_GB2312" w:eastAsia="仿宋_GB2312"/>
          <w:sz w:val="32"/>
          <w:szCs w:val="32"/>
        </w:rPr>
        <w:t>一是完善管理制度。提请市政府出台《遂宁市行政规范性文件管理细则》，印发《关于进一步加强规范性文件管理的通知》，进一步明确规范性文件报审要求和办理流程。二是加强备案审查。审查规范性文件37件，出具书面意见37件，向省政府和市人大常委会提请备案23件，审查备案县区政府和市直部门规范性文件30件。三是开展涉及著（知）名商标制度、环保“土政策”以及产权保护等方面规范性文件专项清理和重大行政决策及规范性文件后评估。</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（五）强化执法监督，促进严格规范公正文明执法。</w:t>
      </w:r>
      <w:r>
        <w:rPr>
          <w:rFonts w:hint="eastAsia" w:ascii="仿宋_GB2312" w:eastAsia="仿宋_GB2312"/>
          <w:sz w:val="32"/>
          <w:szCs w:val="32"/>
        </w:rPr>
        <w:t>一是推行行政执法“三项制度”。提请市政府印发《遂宁市行政执法公示规定》《遂宁市行政执法全过程记录规定》《遂宁市重大行政执法决定法制审核办法》。二是组织开展行政执法案卷评查。对市直部门选送的行政处罚和行政许可案卷进行交叉评查，并召开案卷评查情况通报会。三是加强行政执法队伍建设。开展培训考试7期，共培训1700余人。四是深化“两法衔接”工作。各级行政执法机关依法移送涉嫌犯罪案件43件，公安机关立案30件，建议行政执法机关作出行政处罚11件。</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（六）加强行政应诉、行政调解，积极化解纠纷矛盾。</w:t>
      </w:r>
      <w:r>
        <w:rPr>
          <w:rFonts w:hint="eastAsia" w:ascii="仿宋_GB2312" w:eastAsia="仿宋_GB2312"/>
          <w:sz w:val="32"/>
          <w:szCs w:val="32"/>
        </w:rPr>
        <w:t xml:space="preserve">办理行政诉讼案件43件，结案16件，其中发回重审2件，驳回诉讼请求1件，驳回上诉1件，驳回起诉3件，驳回再审申请1件，撤销复议决定4件，部分维持部分撤销复议决定2件，撤诉2件。深入实施《遂宁市行政调解工作规定》，有8件复议案件经过调解，申请人主动撤回复议申请。     </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（七）聚焦市委市政府中心工作，提供优质法律服务。</w:t>
      </w:r>
      <w:r>
        <w:rPr>
          <w:rFonts w:hint="eastAsia" w:ascii="仿宋_GB2312" w:eastAsia="仿宋_GB2312"/>
          <w:sz w:val="32"/>
          <w:szCs w:val="32"/>
        </w:rPr>
        <w:t>一是主动服务保障市委市政府重大决策。共办理各类涉法事务53件，出具书面意见47件，其中重大涉法事务20余件。如在四川盛马化工重组、天友花千里项目处置、市中心医院健康服务产业基地项目推进等重大事务处理中，我办积极提出合理、合法的处置意见或方案，获得了市委市政府领导的充分肯定。二是深入开展住建领域乱象整治。对《遂宁市城区商品房预售管理办法（试行）》《遂宁市商品房预售资金监管暂行办法》等文件草案进行合法性审查，对住建、城管等部门开展执法监督检查，及时发现和纠正执法中的突出问题。三是做好国有土地出让“清欠”工作。积极建议引入商事仲裁作为解决手段，并且已通过仲裁裁决确定了三宗地块欠缴的违约金金额，为市委市政府领导科学决策提供了法律支撑，也为化解其他政府合同纠纷起到了一定示范作用。</w:t>
      </w:r>
    </w:p>
    <w:p>
      <w:pPr>
        <w:pStyle w:val="3"/>
        <w:rPr>
          <w:rStyle w:val="20"/>
          <w:b w:val="0"/>
          <w:bCs w:val="0"/>
        </w:rPr>
      </w:pPr>
      <w:bookmarkStart w:id="16" w:name="_Toc15396601"/>
      <w:bookmarkStart w:id="17" w:name="_Toc15377200"/>
      <w:r>
        <w:rPr>
          <w:rFonts w:hint="eastAsia" w:ascii="黑体" w:eastAsia="黑体"/>
          <w:b w:val="0"/>
          <w:color w:val="000000"/>
        </w:rPr>
        <w:t>二、</w:t>
      </w:r>
      <w:r>
        <w:rPr>
          <w:rFonts w:hint="eastAsia" w:ascii="黑体" w:hAnsi="黑体" w:eastAsia="黑体"/>
          <w:b w:val="0"/>
          <w:color w:val="000000"/>
        </w:rPr>
        <w:t>机</w:t>
      </w:r>
      <w:r>
        <w:rPr>
          <w:rStyle w:val="20"/>
          <w:rFonts w:hint="eastAsia" w:ascii="黑体" w:hAnsi="黑体" w:eastAsia="黑体"/>
          <w:b w:val="0"/>
          <w:bCs w:val="0"/>
        </w:rPr>
        <w:t>构设置</w:t>
      </w:r>
      <w:bookmarkEnd w:id="16"/>
      <w:bookmarkEnd w:id="17"/>
    </w:p>
    <w:p>
      <w:pPr>
        <w:pStyle w:val="5"/>
        <w:adjustRightInd w:val="0"/>
        <w:snapToGrid w:val="0"/>
        <w:spacing w:before="93" w:line="560" w:lineRule="exact"/>
        <w:ind w:firstLine="672" w:firstLineChars="210"/>
        <w:rPr>
          <w:color w:val="000000"/>
          <w:sz w:val="32"/>
          <w:szCs w:val="32"/>
        </w:rPr>
      </w:pPr>
      <w:r>
        <w:rPr>
          <w:rFonts w:hint="eastAsia"/>
          <w:color w:val="000000"/>
          <w:sz w:val="32"/>
          <w:szCs w:val="32"/>
        </w:rPr>
        <w:t>市政府法制办下属二级单位1个，其中行政单位0个，参照公务员法管理的事业单位</w:t>
      </w:r>
      <w:r>
        <w:rPr>
          <w:rFonts w:hint="eastAsia"/>
          <w:bCs/>
          <w:color w:val="000000"/>
          <w:sz w:val="32"/>
          <w:szCs w:val="32"/>
        </w:rPr>
        <w:t>1</w:t>
      </w:r>
      <w:r>
        <w:rPr>
          <w:rFonts w:hint="eastAsia"/>
          <w:color w:val="000000"/>
          <w:sz w:val="32"/>
          <w:szCs w:val="32"/>
        </w:rPr>
        <w:t>个，其他事业单位0个。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color w:val="000000"/>
          <w:sz w:val="32"/>
          <w:szCs w:val="32"/>
        </w:rPr>
        <w:t>市政府法制办</w:t>
      </w:r>
      <w:r>
        <w:rPr>
          <w:rFonts w:ascii="仿宋" w:hAnsi="仿宋" w:eastAsia="仿宋"/>
          <w:color w:val="000000"/>
          <w:sz w:val="32"/>
          <w:szCs w:val="32"/>
        </w:rPr>
        <w:t>2018</w:t>
      </w:r>
      <w:r>
        <w:rPr>
          <w:rFonts w:hint="eastAsia" w:ascii="仿宋" w:hAnsi="仿宋" w:eastAsia="仿宋"/>
          <w:color w:val="000000"/>
          <w:sz w:val="32"/>
          <w:szCs w:val="32"/>
        </w:rPr>
        <w:t>年度部门决算编制范围的二级预算单位包括：市仲裁办</w:t>
      </w:r>
    </w:p>
    <w:p>
      <w:pPr>
        <w:pStyle w:val="5"/>
        <w:adjustRightInd w:val="0"/>
        <w:snapToGrid w:val="0"/>
        <w:spacing w:before="93"/>
        <w:ind w:firstLine="672" w:firstLineChars="210"/>
        <w:rPr>
          <w:rFonts w:ascii="仿宋" w:hAnsi="仿宋" w:eastAsia="仿宋"/>
          <w:color w:val="000000"/>
          <w:sz w:val="32"/>
          <w:szCs w:val="32"/>
        </w:rPr>
      </w:pPr>
    </w:p>
    <w:p>
      <w:pPr>
        <w:pStyle w:val="5"/>
        <w:adjustRightInd w:val="0"/>
        <w:snapToGrid w:val="0"/>
        <w:spacing w:before="93"/>
        <w:ind w:firstLine="672" w:firstLineChars="210"/>
        <w:rPr>
          <w:rFonts w:ascii="仿宋" w:hAnsi="仿宋" w:eastAsia="仿宋"/>
          <w:color w:val="000000"/>
          <w:sz w:val="32"/>
          <w:szCs w:val="32"/>
        </w:rPr>
      </w:pPr>
    </w:p>
    <w:p>
      <w:pPr>
        <w:pStyle w:val="5"/>
        <w:adjustRightInd w:val="0"/>
        <w:snapToGrid w:val="0"/>
        <w:spacing w:before="93"/>
        <w:ind w:firstLine="672" w:firstLineChars="210"/>
        <w:rPr>
          <w:rFonts w:ascii="仿宋" w:hAnsi="仿宋" w:eastAsia="仿宋"/>
          <w:color w:val="000000"/>
          <w:sz w:val="32"/>
          <w:szCs w:val="32"/>
        </w:rPr>
      </w:pPr>
    </w:p>
    <w:p>
      <w:pPr>
        <w:pStyle w:val="5"/>
        <w:adjustRightInd w:val="0"/>
        <w:snapToGrid w:val="0"/>
        <w:spacing w:before="93"/>
        <w:rPr>
          <w:rFonts w:ascii="仿宋" w:hAnsi="仿宋" w:eastAsia="仿宋"/>
          <w:color w:val="000000"/>
          <w:sz w:val="32"/>
          <w:szCs w:val="32"/>
        </w:rPr>
      </w:pPr>
    </w:p>
    <w:p>
      <w:pPr>
        <w:pStyle w:val="2"/>
        <w:spacing w:line="240" w:lineRule="auto"/>
        <w:ind w:right="440"/>
        <w:jc w:val="right"/>
        <w:rPr>
          <w:rStyle w:val="19"/>
          <w:rFonts w:ascii="黑体" w:hAnsi="黑体" w:eastAsia="黑体"/>
          <w:b w:val="0"/>
          <w:bCs w:val="0"/>
        </w:rPr>
      </w:pPr>
      <w:bookmarkStart w:id="18" w:name="_Toc15377204"/>
      <w:bookmarkStart w:id="19" w:name="_Toc15396602"/>
      <w:r>
        <w:rPr>
          <w:rFonts w:hint="eastAsia" w:ascii="黑体" w:hAnsi="黑体" w:eastAsia="黑体"/>
          <w:b w:val="0"/>
          <w:color w:val="000000"/>
        </w:rPr>
        <w:t>第二部分</w:t>
      </w:r>
      <w:r>
        <w:rPr>
          <w:rStyle w:val="19"/>
          <w:rFonts w:ascii="黑体" w:hAnsi="黑体" w:eastAsia="黑体"/>
          <w:b w:val="0"/>
          <w:bCs w:val="0"/>
        </w:rPr>
        <w:t>2018</w:t>
      </w:r>
      <w:r>
        <w:rPr>
          <w:rStyle w:val="19"/>
          <w:rFonts w:hint="eastAsia" w:ascii="黑体" w:hAnsi="黑体" w:eastAsia="黑体"/>
          <w:b w:val="0"/>
          <w:bCs w:val="0"/>
        </w:rPr>
        <w:t>年度部门决算情况说明</w:t>
      </w:r>
      <w:bookmarkEnd w:id="18"/>
      <w:bookmarkEnd w:id="19"/>
    </w:p>
    <w:p/>
    <w:p>
      <w:pPr>
        <w:pStyle w:val="29"/>
        <w:numPr>
          <w:ilvl w:val="0"/>
          <w:numId w:val="1"/>
        </w:numPr>
        <w:ind w:firstLineChars="0"/>
        <w:outlineLvl w:val="1"/>
        <w:rPr>
          <w:rStyle w:val="20"/>
          <w:rFonts w:ascii="黑体" w:hAnsi="黑体" w:eastAsia="黑体"/>
          <w:b w:val="0"/>
        </w:rPr>
      </w:pPr>
      <w:bookmarkStart w:id="20" w:name="_Toc15377205"/>
      <w:bookmarkStart w:id="21" w:name="_Toc15396603"/>
      <w:r>
        <w:rPr>
          <w:rFonts w:hint="eastAsia" w:ascii="黑体" w:hAnsi="黑体" w:eastAsia="黑体"/>
          <w:color w:val="000000"/>
          <w:sz w:val="32"/>
          <w:szCs w:val="32"/>
        </w:rPr>
        <w:t>收</w:t>
      </w:r>
      <w:r>
        <w:rPr>
          <w:rStyle w:val="20"/>
          <w:rFonts w:hint="eastAsia" w:ascii="黑体" w:hAnsi="黑体" w:eastAsia="黑体"/>
          <w:b w:val="0"/>
        </w:rPr>
        <w:t>入支出决算总体情况说明</w:t>
      </w:r>
      <w:bookmarkEnd w:id="20"/>
      <w:bookmarkEnd w:id="21"/>
    </w:p>
    <w:p>
      <w:pPr>
        <w:snapToGrid w:val="0"/>
        <w:ind w:firstLine="640" w:firstLineChars="200"/>
        <w:rPr>
          <w:rFonts w:ascii="仿宋_GB2312" w:hAnsi="宋体" w:eastAsia="仿宋_GB2312"/>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年度收、支总计542.64万元。与</w:t>
      </w:r>
      <w:r>
        <w:rPr>
          <w:rFonts w:ascii="仿宋" w:hAnsi="仿宋" w:eastAsia="仿宋"/>
          <w:color w:val="000000"/>
          <w:sz w:val="32"/>
          <w:szCs w:val="32"/>
        </w:rPr>
        <w:t>2017</w:t>
      </w:r>
      <w:r>
        <w:rPr>
          <w:rFonts w:hint="eastAsia" w:ascii="仿宋" w:hAnsi="仿宋" w:eastAsia="仿宋"/>
          <w:color w:val="000000"/>
          <w:sz w:val="32"/>
          <w:szCs w:val="32"/>
        </w:rPr>
        <w:t>年相比，收、支总计各增加165.38万元，上升30.48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宋体" w:eastAsia="仿宋_GB2312"/>
          <w:sz w:val="32"/>
          <w:szCs w:val="32"/>
        </w:rPr>
        <w:t>人员津补贴标准比去年提高，社保、医保经费增加以及</w:t>
      </w:r>
      <w:r>
        <w:rPr>
          <w:rFonts w:hint="eastAsia" w:ascii="仿宋_GB2312" w:eastAsia="仿宋_GB2312"/>
          <w:color w:val="000000"/>
          <w:sz w:val="32"/>
          <w:szCs w:val="32"/>
        </w:rPr>
        <w:t>工作范围和工作职能的增加</w:t>
      </w:r>
      <w:r>
        <w:rPr>
          <w:rFonts w:hint="eastAsia" w:ascii="仿宋_GB2312" w:hAnsi="宋体" w:eastAsia="仿宋_GB2312"/>
          <w:sz w:val="32"/>
          <w:szCs w:val="32"/>
        </w:rPr>
        <w:t>。</w:t>
      </w:r>
    </w:p>
    <w:p>
      <w:pPr>
        <w:ind w:firstLine="640" w:firstLineChars="200"/>
        <w:rPr>
          <w:rFonts w:ascii="仿宋_GB2312" w:eastAsia="仿宋_GB2312"/>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4676775" cy="2819400"/>
            <wp:effectExtent l="19050" t="0" r="9525"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9"/>
        <w:numPr>
          <w:ilvl w:val="0"/>
          <w:numId w:val="1"/>
        </w:numPr>
        <w:ind w:firstLineChars="0"/>
        <w:outlineLvl w:val="1"/>
        <w:rPr>
          <w:rStyle w:val="20"/>
          <w:rFonts w:ascii="黑体" w:hAnsi="黑体" w:eastAsia="黑体"/>
          <w:b w:val="0"/>
        </w:rPr>
      </w:pPr>
      <w:bookmarkStart w:id="22" w:name="_Toc15377206"/>
      <w:bookmarkStart w:id="23" w:name="_Toc15396604"/>
      <w:r>
        <w:rPr>
          <w:rFonts w:hint="eastAsia" w:ascii="黑体" w:hAnsi="黑体" w:eastAsia="黑体"/>
          <w:color w:val="000000"/>
          <w:sz w:val="32"/>
          <w:szCs w:val="32"/>
        </w:rPr>
        <w:t>收</w:t>
      </w:r>
      <w:r>
        <w:rPr>
          <w:rStyle w:val="20"/>
          <w:rFonts w:hint="eastAsia" w:ascii="黑体" w:hAnsi="黑体" w:eastAsia="黑体"/>
          <w:b w:val="0"/>
        </w:rPr>
        <w:t>入决算情况说明</w:t>
      </w:r>
      <w:bookmarkEnd w:id="22"/>
      <w:bookmarkEnd w:id="23"/>
    </w:p>
    <w:p>
      <w:pPr>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年本年收入合计536.20万元，其中：一般公共预算财政拨款收入461.50万元，占86.07</w:t>
      </w:r>
      <w:r>
        <w:rPr>
          <w:rFonts w:ascii="仿宋" w:hAnsi="仿宋" w:eastAsia="仿宋"/>
          <w:color w:val="000000"/>
          <w:sz w:val="32"/>
          <w:szCs w:val="32"/>
        </w:rPr>
        <w:t>%</w:t>
      </w:r>
      <w:r>
        <w:rPr>
          <w:rFonts w:hint="eastAsia" w:ascii="仿宋" w:hAnsi="仿宋" w:eastAsia="仿宋"/>
          <w:color w:val="000000"/>
          <w:sz w:val="32"/>
          <w:szCs w:val="32"/>
        </w:rPr>
        <w:t>；其他收入74.70万元，占13.93</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ind w:firstLine="640" w:firstLineChars="200"/>
        <w:rPr>
          <w:rFonts w:ascii="仿宋_GB2312" w:eastAsia="仿宋_GB2312"/>
          <w:color w:val="FF0000"/>
          <w:sz w:val="32"/>
          <w:szCs w:val="32"/>
        </w:rPr>
      </w:pPr>
      <w:r>
        <w:rPr>
          <w:rFonts w:hint="eastAsia" w:ascii="仿宋_GB2312" w:eastAsia="仿宋_GB2312"/>
          <w:color w:val="FF0000"/>
          <w:sz w:val="32"/>
          <w:szCs w:val="32"/>
        </w:rPr>
        <w:drawing>
          <wp:inline distT="0" distB="0" distL="0" distR="0">
            <wp:extent cx="4791075" cy="209550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9"/>
        <w:numPr>
          <w:ilvl w:val="0"/>
          <w:numId w:val="1"/>
        </w:numPr>
        <w:ind w:firstLineChars="0"/>
        <w:outlineLvl w:val="1"/>
        <w:rPr>
          <w:rStyle w:val="20"/>
          <w:rFonts w:ascii="黑体" w:hAnsi="黑体" w:eastAsia="黑体"/>
          <w:b w:val="0"/>
        </w:rPr>
      </w:pPr>
      <w:bookmarkStart w:id="24" w:name="_Toc15396605"/>
      <w:bookmarkStart w:id="25" w:name="_Toc15377207"/>
      <w:r>
        <w:rPr>
          <w:rFonts w:hint="eastAsia" w:ascii="黑体" w:hAnsi="黑体" w:eastAsia="黑体"/>
          <w:color w:val="000000"/>
          <w:sz w:val="32"/>
          <w:szCs w:val="32"/>
        </w:rPr>
        <w:t>支</w:t>
      </w:r>
      <w:r>
        <w:rPr>
          <w:rStyle w:val="20"/>
          <w:rFonts w:hint="eastAsia" w:ascii="黑体" w:hAnsi="黑体" w:eastAsia="黑体"/>
          <w:b w:val="0"/>
        </w:rPr>
        <w:t>出决算情况说明</w:t>
      </w:r>
      <w:bookmarkEnd w:id="24"/>
      <w:bookmarkEnd w:id="25"/>
    </w:p>
    <w:p>
      <w:pPr>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年本年支出合计529.27万元，其中：基本支出364.67万元，占68.91</w:t>
      </w:r>
      <w:r>
        <w:rPr>
          <w:rFonts w:ascii="仿宋" w:hAnsi="仿宋" w:eastAsia="仿宋"/>
          <w:color w:val="000000"/>
          <w:sz w:val="32"/>
          <w:szCs w:val="32"/>
        </w:rPr>
        <w:t>%</w:t>
      </w:r>
      <w:r>
        <w:rPr>
          <w:rFonts w:hint="eastAsia" w:ascii="仿宋" w:hAnsi="仿宋" w:eastAsia="仿宋"/>
          <w:color w:val="000000"/>
          <w:sz w:val="32"/>
          <w:szCs w:val="32"/>
        </w:rPr>
        <w:t>；项目支出164.60万元，占31.09</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4848225" cy="2343150"/>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outlineLvl w:val="1"/>
        <w:rPr>
          <w:rStyle w:val="20"/>
          <w:rFonts w:ascii="黑体" w:hAnsi="黑体" w:eastAsia="黑体"/>
          <w:b w:val="0"/>
        </w:rPr>
      </w:pPr>
      <w:bookmarkStart w:id="26" w:name="_Toc15377208"/>
      <w:bookmarkStart w:id="27" w:name="_Toc15396606"/>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bookmarkEnd w:id="26"/>
      <w:bookmarkEnd w:id="27"/>
    </w:p>
    <w:p>
      <w:pPr>
        <w:spacing w:line="600" w:lineRule="exact"/>
        <w:ind w:firstLine="640"/>
        <w:rPr>
          <w:rFonts w:eastAsia="仿宋_GB2312"/>
          <w:color w:val="000000"/>
          <w:sz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年财政拨款收、支总计467.94万元。与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年相比，财政拨款收、支总计各增加95.99万元，增长20.51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eastAsia="仿宋_GB2312"/>
          <w:color w:val="000000"/>
          <w:sz w:val="32"/>
        </w:rPr>
        <w:t>单位职工的工资福利支出、对个人和家庭的补助支出增加。</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ind w:firstLine="640"/>
        <w:rPr>
          <w:rFonts w:ascii="仿宋" w:hAnsi="仿宋" w:eastAsia="仿宋"/>
          <w:b/>
          <w:color w:val="00B050"/>
          <w:sz w:val="32"/>
          <w:szCs w:val="32"/>
        </w:rPr>
      </w:pPr>
      <w:r>
        <w:rPr>
          <w:rFonts w:hint="eastAsia" w:ascii="仿宋" w:hAnsi="仿宋" w:eastAsia="仿宋"/>
          <w:b/>
          <w:color w:val="00B050"/>
          <w:sz w:val="32"/>
          <w:szCs w:val="32"/>
        </w:rPr>
        <w:drawing>
          <wp:inline distT="0" distB="0" distL="0" distR="0">
            <wp:extent cx="4791075" cy="2419350"/>
            <wp:effectExtent l="19050" t="0" r="952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outlineLvl w:val="1"/>
        <w:rPr>
          <w:rStyle w:val="20"/>
          <w:rFonts w:ascii="黑体" w:hAnsi="黑体" w:eastAsia="黑体"/>
          <w:b w:val="0"/>
        </w:rPr>
      </w:pPr>
      <w:bookmarkStart w:id="28" w:name="_Toc15377209"/>
      <w:bookmarkStart w:id="29"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0"/>
          <w:rFonts w:hint="eastAsia" w:ascii="黑体" w:hAnsi="黑体" w:eastAsia="黑体"/>
          <w:b w:val="0"/>
        </w:rPr>
        <w:t>般公共预算财政拨款支出决算情况说明</w:t>
      </w:r>
      <w:bookmarkEnd w:id="28"/>
      <w:bookmarkEnd w:id="29"/>
    </w:p>
    <w:p>
      <w:pPr>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pPr>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年一般公共预算财政拨款支出365.52万元，占本年支出合计的97.14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 xml:space="preserve">年相比，一般公共预算财政拨款增加 0.2万元，增长0.05 </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4676775" cy="2447925"/>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年一般公共预算财政拨款支出454.57万元，主要用于以下方面</w:t>
      </w:r>
      <w:r>
        <w:rPr>
          <w:rFonts w:ascii="仿宋" w:hAnsi="仿宋" w:eastAsia="仿宋"/>
          <w:color w:val="000000"/>
          <w:sz w:val="32"/>
          <w:szCs w:val="32"/>
        </w:rPr>
        <w:t>:</w:t>
      </w:r>
      <w:r>
        <w:rPr>
          <w:rFonts w:hint="eastAsia" w:ascii="仿宋" w:hAnsi="仿宋" w:eastAsia="仿宋"/>
          <w:color w:val="000000"/>
          <w:sz w:val="32"/>
          <w:szCs w:val="32"/>
        </w:rPr>
        <w:t>一般公共服务（类）支出336.27万元，占73.98</w:t>
      </w:r>
      <w:r>
        <w:rPr>
          <w:rFonts w:ascii="仿宋" w:hAnsi="仿宋" w:eastAsia="仿宋"/>
          <w:color w:val="000000"/>
          <w:sz w:val="32"/>
          <w:szCs w:val="32"/>
        </w:rPr>
        <w:t>%</w:t>
      </w:r>
      <w:r>
        <w:rPr>
          <w:rFonts w:hint="eastAsia" w:ascii="仿宋" w:hAnsi="仿宋" w:eastAsia="仿宋"/>
          <w:color w:val="000000"/>
          <w:sz w:val="32"/>
          <w:szCs w:val="32"/>
        </w:rPr>
        <w:t>；公共安全（类）支出70.37万元，占15.48</w:t>
      </w:r>
      <w:r>
        <w:rPr>
          <w:rFonts w:ascii="仿宋" w:hAnsi="仿宋" w:eastAsia="仿宋"/>
          <w:color w:val="000000"/>
          <w:sz w:val="32"/>
          <w:szCs w:val="32"/>
        </w:rPr>
        <w:t>%</w:t>
      </w:r>
      <w:r>
        <w:rPr>
          <w:rFonts w:hint="eastAsia" w:ascii="仿宋" w:hAnsi="仿宋" w:eastAsia="仿宋"/>
          <w:color w:val="000000"/>
          <w:sz w:val="32"/>
          <w:szCs w:val="32"/>
        </w:rPr>
        <w:t>；社会保障和就业（类）支出20.64万元，占4.54%；医疗卫生与计划生育支出8.66万元，占1.91</w:t>
      </w:r>
      <w:r>
        <w:rPr>
          <w:rFonts w:ascii="仿宋" w:hAnsi="仿宋" w:eastAsia="仿宋"/>
          <w:color w:val="000000"/>
          <w:sz w:val="32"/>
          <w:szCs w:val="32"/>
        </w:rPr>
        <w:t>%</w:t>
      </w:r>
      <w:r>
        <w:rPr>
          <w:rFonts w:hint="eastAsia" w:ascii="仿宋" w:hAnsi="仿宋" w:eastAsia="仿宋"/>
          <w:color w:val="000000"/>
          <w:sz w:val="32"/>
          <w:szCs w:val="32"/>
        </w:rPr>
        <w:t>；住房保障支出18.63万元，占4.09</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5257800" cy="2476500"/>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3" w:firstLineChars="200"/>
        <w:outlineLvl w:val="2"/>
        <w:rPr>
          <w:rFonts w:ascii="仿宋" w:hAnsi="仿宋" w:eastAsia="仿宋"/>
          <w:b/>
          <w:color w:val="000000"/>
          <w:sz w:val="32"/>
          <w:szCs w:val="32"/>
        </w:rPr>
      </w:pPr>
      <w:bookmarkStart w:id="32" w:name="_Toc15377212"/>
      <w:r>
        <w:rPr>
          <w:rFonts w:hint="eastAsia" w:ascii="仿宋" w:hAnsi="仿宋" w:eastAsia="仿宋"/>
          <w:b/>
          <w:color w:val="000000"/>
          <w:sz w:val="32"/>
          <w:szCs w:val="32"/>
        </w:rPr>
        <w:t>（三）一般公共预算财政拨款支出决算具体情况</w:t>
      </w:r>
      <w:bookmarkEnd w:id="32"/>
    </w:p>
    <w:p>
      <w:pPr>
        <w:ind w:firstLine="643" w:firstLineChars="200"/>
        <w:outlineLvl w:val="2"/>
        <w:rPr>
          <w:rFonts w:ascii="仿宋" w:hAnsi="仿宋" w:eastAsia="仿宋"/>
          <w:color w:val="FF0000"/>
          <w:sz w:val="32"/>
          <w:szCs w:val="32"/>
        </w:rPr>
      </w:pPr>
      <w:bookmarkStart w:id="33" w:name="_Toc15377213"/>
      <w:bookmarkStart w:id="34" w:name="_Toc15378460"/>
      <w:bookmarkStart w:id="35" w:name="_Toc15377444"/>
      <w:r>
        <w:rPr>
          <w:rFonts w:ascii="仿宋" w:hAnsi="仿宋" w:eastAsia="仿宋"/>
          <w:b/>
          <w:color w:val="000000"/>
          <w:sz w:val="32"/>
          <w:szCs w:val="32"/>
        </w:rPr>
        <w:t>2018</w:t>
      </w:r>
      <w:r>
        <w:rPr>
          <w:rFonts w:hint="eastAsia" w:ascii="仿宋" w:hAnsi="仿宋" w:eastAsia="仿宋"/>
          <w:b/>
          <w:color w:val="000000"/>
          <w:sz w:val="32"/>
          <w:szCs w:val="32"/>
        </w:rPr>
        <w:t>年一般公共预算支出决算数为454.57</w:t>
      </w:r>
      <w:r>
        <w:rPr>
          <w:rFonts w:hint="eastAsia" w:ascii="仿宋" w:hAnsi="仿宋" w:eastAsia="仿宋"/>
          <w:color w:val="000000"/>
          <w:sz w:val="32"/>
          <w:szCs w:val="32"/>
        </w:rPr>
        <w:t>，</w:t>
      </w:r>
      <w:r>
        <w:rPr>
          <w:rStyle w:val="16"/>
          <w:rFonts w:hint="eastAsia" w:ascii="仿宋" w:hAnsi="仿宋" w:eastAsia="仿宋"/>
          <w:bCs/>
          <w:color w:val="000000"/>
          <w:sz w:val="32"/>
          <w:szCs w:val="32"/>
        </w:rPr>
        <w:t>完成预算100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3"/>
      <w:bookmarkEnd w:id="34"/>
      <w:bookmarkEnd w:id="35"/>
    </w:p>
    <w:p>
      <w:pPr>
        <w:spacing w:line="560" w:lineRule="exact"/>
        <w:ind w:firstLine="643" w:firstLineChars="200"/>
        <w:rPr>
          <w:rStyle w:val="16"/>
          <w:rFonts w:ascii="仿宋" w:hAnsi="仿宋" w:eastAsia="仿宋"/>
          <w:b w:val="0"/>
          <w:sz w:val="32"/>
          <w:szCs w:val="32"/>
        </w:rPr>
      </w:pPr>
      <w:bookmarkStart w:id="36" w:name="_Toc15396608"/>
      <w:bookmarkStart w:id="37" w:name="_Toc15377214"/>
      <w:r>
        <w:rPr>
          <w:rStyle w:val="16"/>
          <w:rFonts w:hint="eastAsia" w:ascii="仿宋" w:hAnsi="仿宋" w:eastAsia="仿宋"/>
          <w:color w:val="000000"/>
          <w:sz w:val="32"/>
          <w:szCs w:val="32"/>
        </w:rPr>
        <w:t>1.一般公共服务（201）政府办公厅（室）及相关机构事务（03）行政运行（01）:</w:t>
      </w:r>
      <w:r>
        <w:rPr>
          <w:rStyle w:val="16"/>
          <w:rFonts w:hint="eastAsia" w:ascii="仿宋" w:hAnsi="仿宋" w:eastAsia="仿宋"/>
          <w:b w:val="0"/>
          <w:color w:val="000000"/>
          <w:sz w:val="32"/>
          <w:szCs w:val="32"/>
        </w:rPr>
        <w:t xml:space="preserve"> 支出决算为241.98万元，完成预算99.21%，</w:t>
      </w:r>
      <w:r>
        <w:rPr>
          <w:rStyle w:val="16"/>
          <w:rFonts w:hint="eastAsia" w:ascii="仿宋" w:hAnsi="仿宋" w:eastAsia="仿宋"/>
          <w:b w:val="0"/>
          <w:sz w:val="32"/>
          <w:szCs w:val="32"/>
        </w:rPr>
        <w:t>决算数小于预算数的主要原因是节约开支。</w:t>
      </w:r>
    </w:p>
    <w:p>
      <w:pPr>
        <w:spacing w:line="560" w:lineRule="exact"/>
        <w:ind w:firstLine="640" w:firstLineChars="200"/>
        <w:rPr>
          <w:rFonts w:ascii="仿宋" w:hAnsi="仿宋" w:eastAsia="仿宋"/>
          <w:b/>
          <w:sz w:val="32"/>
          <w:szCs w:val="32"/>
        </w:rPr>
      </w:pPr>
      <w:r>
        <w:rPr>
          <w:rStyle w:val="16"/>
          <w:rFonts w:hint="eastAsia" w:ascii="仿宋" w:hAnsi="仿宋" w:eastAsia="仿宋"/>
          <w:b w:val="0"/>
          <w:sz w:val="32"/>
          <w:szCs w:val="32"/>
        </w:rPr>
        <w:t>2.</w:t>
      </w:r>
      <w:r>
        <w:rPr>
          <w:rStyle w:val="16"/>
          <w:rFonts w:hint="eastAsia" w:ascii="仿宋" w:hAnsi="仿宋" w:eastAsia="仿宋"/>
          <w:sz w:val="32"/>
          <w:szCs w:val="32"/>
        </w:rPr>
        <w:t>一般公共服务（201）政府办公厅（室）及相关机构事务（03）一般行政管理事务（02）:</w:t>
      </w:r>
      <w:r>
        <w:rPr>
          <w:rStyle w:val="16"/>
          <w:rFonts w:hint="eastAsia" w:ascii="仿宋" w:hAnsi="仿宋" w:eastAsia="仿宋"/>
          <w:b w:val="0"/>
          <w:sz w:val="32"/>
          <w:szCs w:val="32"/>
        </w:rPr>
        <w:t xml:space="preserve"> 支出决算为48.61万元，完成预算100%.</w:t>
      </w:r>
    </w:p>
    <w:p>
      <w:pPr>
        <w:spacing w:line="560" w:lineRule="exact"/>
        <w:ind w:firstLine="640" w:firstLineChars="200"/>
        <w:rPr>
          <w:rFonts w:ascii="仿宋" w:hAnsi="仿宋" w:eastAsia="仿宋"/>
          <w:b/>
          <w:sz w:val="32"/>
          <w:szCs w:val="32"/>
        </w:rPr>
      </w:pPr>
      <w:r>
        <w:rPr>
          <w:rStyle w:val="16"/>
          <w:rFonts w:hint="eastAsia" w:ascii="仿宋" w:hAnsi="仿宋" w:eastAsia="仿宋"/>
          <w:b w:val="0"/>
          <w:sz w:val="32"/>
          <w:szCs w:val="32"/>
        </w:rPr>
        <w:t>3.</w:t>
      </w:r>
      <w:r>
        <w:rPr>
          <w:rStyle w:val="16"/>
          <w:rFonts w:hint="eastAsia" w:ascii="仿宋" w:hAnsi="仿宋" w:eastAsia="仿宋"/>
          <w:sz w:val="32"/>
          <w:szCs w:val="32"/>
        </w:rPr>
        <w:t>一般公共服务（201）政府办公厅（室）及相关机构事务（03）事业运行（50）:</w:t>
      </w:r>
      <w:r>
        <w:rPr>
          <w:rStyle w:val="16"/>
          <w:rFonts w:hint="eastAsia" w:ascii="仿宋" w:hAnsi="仿宋" w:eastAsia="仿宋"/>
          <w:b w:val="0"/>
          <w:sz w:val="32"/>
          <w:szCs w:val="32"/>
        </w:rPr>
        <w:t xml:space="preserve"> 支出决算为0.06万元，完成预算100%.</w:t>
      </w:r>
    </w:p>
    <w:p>
      <w:pPr>
        <w:spacing w:line="540" w:lineRule="exact"/>
        <w:ind w:firstLine="640" w:firstLineChars="200"/>
        <w:rPr>
          <w:rFonts w:ascii="仿宋" w:hAnsi="仿宋" w:eastAsia="仿宋"/>
          <w:b/>
          <w:sz w:val="32"/>
          <w:szCs w:val="32"/>
        </w:rPr>
      </w:pPr>
      <w:r>
        <w:rPr>
          <w:rStyle w:val="16"/>
          <w:rFonts w:hint="eastAsia" w:ascii="仿宋" w:hAnsi="仿宋" w:eastAsia="仿宋"/>
          <w:b w:val="0"/>
          <w:sz w:val="32"/>
          <w:szCs w:val="32"/>
        </w:rPr>
        <w:t>4.</w:t>
      </w:r>
      <w:r>
        <w:rPr>
          <w:rStyle w:val="16"/>
          <w:rFonts w:hint="eastAsia" w:ascii="仿宋" w:hAnsi="仿宋" w:eastAsia="仿宋"/>
          <w:sz w:val="32"/>
          <w:szCs w:val="32"/>
        </w:rPr>
        <w:t>一般公共服务（201）政府办公厅（室）及相关机构事务（03）法制建设（07）:</w:t>
      </w:r>
      <w:r>
        <w:rPr>
          <w:rStyle w:val="16"/>
          <w:rFonts w:hint="eastAsia" w:ascii="仿宋" w:hAnsi="仿宋" w:eastAsia="仿宋"/>
          <w:b w:val="0"/>
          <w:sz w:val="32"/>
          <w:szCs w:val="32"/>
        </w:rPr>
        <w:t xml:space="preserve"> 支出决算为45.62万元，完成预算100%.</w:t>
      </w:r>
    </w:p>
    <w:p>
      <w:pPr>
        <w:spacing w:line="540" w:lineRule="exact"/>
        <w:ind w:firstLine="640" w:firstLineChars="200"/>
        <w:rPr>
          <w:rFonts w:ascii="仿宋" w:hAnsi="仿宋" w:eastAsia="仿宋"/>
          <w:b/>
          <w:color w:val="FF0000"/>
          <w:sz w:val="32"/>
          <w:szCs w:val="32"/>
        </w:rPr>
      </w:pPr>
      <w:r>
        <w:rPr>
          <w:rStyle w:val="16"/>
          <w:rFonts w:hint="eastAsia" w:ascii="仿宋" w:hAnsi="仿宋" w:eastAsia="仿宋"/>
          <w:b w:val="0"/>
          <w:sz w:val="32"/>
          <w:szCs w:val="32"/>
        </w:rPr>
        <w:t>5.</w:t>
      </w:r>
      <w:r>
        <w:rPr>
          <w:rStyle w:val="16"/>
          <w:rFonts w:hint="eastAsia" w:ascii="仿宋" w:hAnsi="仿宋" w:eastAsia="仿宋"/>
          <w:sz w:val="32"/>
          <w:szCs w:val="32"/>
        </w:rPr>
        <w:t>公共安全（204）司法</w:t>
      </w:r>
      <w:r>
        <w:rPr>
          <w:rStyle w:val="16"/>
          <w:rFonts w:hint="eastAsia" w:ascii="仿宋" w:hAnsi="仿宋" w:eastAsia="仿宋"/>
          <w:color w:val="000000"/>
          <w:sz w:val="32"/>
          <w:szCs w:val="32"/>
        </w:rPr>
        <w:t>（06）仲裁（09）:</w:t>
      </w:r>
      <w:r>
        <w:rPr>
          <w:rStyle w:val="16"/>
          <w:rFonts w:hint="eastAsia" w:ascii="仿宋" w:hAnsi="仿宋" w:eastAsia="仿宋"/>
          <w:b w:val="0"/>
          <w:color w:val="000000"/>
          <w:sz w:val="32"/>
          <w:szCs w:val="32"/>
        </w:rPr>
        <w:t xml:space="preserve"> 支出决算为70.37万元，</w:t>
      </w:r>
      <w:r>
        <w:rPr>
          <w:rStyle w:val="16"/>
          <w:rFonts w:hint="eastAsia" w:ascii="仿宋" w:hAnsi="仿宋" w:eastAsia="仿宋"/>
          <w:b w:val="0"/>
          <w:sz w:val="32"/>
          <w:szCs w:val="32"/>
        </w:rPr>
        <w:t>完成预算100%。</w:t>
      </w:r>
    </w:p>
    <w:p>
      <w:pPr>
        <w:spacing w:line="540" w:lineRule="exact"/>
        <w:ind w:firstLine="640" w:firstLineChars="200"/>
        <w:rPr>
          <w:rFonts w:ascii="仿宋" w:hAnsi="仿宋" w:eastAsia="仿宋"/>
          <w:b/>
          <w:sz w:val="32"/>
          <w:szCs w:val="32"/>
        </w:rPr>
      </w:pPr>
      <w:r>
        <w:rPr>
          <w:rStyle w:val="16"/>
          <w:rFonts w:hint="eastAsia" w:ascii="仿宋" w:hAnsi="仿宋" w:eastAsia="仿宋"/>
          <w:b w:val="0"/>
          <w:sz w:val="32"/>
          <w:szCs w:val="32"/>
        </w:rPr>
        <w:t>6.</w:t>
      </w:r>
      <w:r>
        <w:rPr>
          <w:rStyle w:val="16"/>
          <w:rFonts w:hint="eastAsia" w:ascii="仿宋" w:hAnsi="仿宋" w:eastAsia="仿宋"/>
          <w:bCs/>
          <w:sz w:val="32"/>
          <w:szCs w:val="32"/>
        </w:rPr>
        <w:t>社会保障和就业支出（208）行政事业单位离退休（05）未归口管理的行政单位离退休（04）：</w:t>
      </w:r>
      <w:r>
        <w:rPr>
          <w:rStyle w:val="16"/>
          <w:rFonts w:hint="eastAsia" w:ascii="仿宋" w:hAnsi="仿宋" w:eastAsia="仿宋"/>
          <w:b w:val="0"/>
          <w:sz w:val="32"/>
          <w:szCs w:val="32"/>
        </w:rPr>
        <w:t>支出决算为20.63万元，完成预算100%。</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7.</w:t>
      </w:r>
      <w:r>
        <w:rPr>
          <w:rStyle w:val="16"/>
          <w:rFonts w:hint="eastAsia" w:ascii="仿宋" w:hAnsi="仿宋" w:eastAsia="仿宋"/>
          <w:bCs/>
          <w:sz w:val="32"/>
          <w:szCs w:val="32"/>
        </w:rPr>
        <w:t>社会保障和就业支出（208）行政事业单位离退休（05）机关事业单位基本养老保险缴费支出（05）：</w:t>
      </w:r>
      <w:r>
        <w:rPr>
          <w:rStyle w:val="16"/>
          <w:rFonts w:hint="eastAsia" w:ascii="仿宋" w:hAnsi="仿宋" w:eastAsia="仿宋"/>
          <w:b w:val="0"/>
          <w:sz w:val="32"/>
          <w:szCs w:val="32"/>
        </w:rPr>
        <w:t>支出决算为18.84万元，完成预算100%。</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8.医疗卫生与计划生育支出（210）行政事业单位医疗（11）行政单位医疗（01）：</w:t>
      </w:r>
      <w:r>
        <w:rPr>
          <w:rStyle w:val="16"/>
          <w:rFonts w:hint="eastAsia" w:ascii="仿宋" w:hAnsi="仿宋" w:eastAsia="仿宋"/>
          <w:b w:val="0"/>
          <w:sz w:val="32"/>
          <w:szCs w:val="32"/>
        </w:rPr>
        <w:t>支出决算为8.66万元，完成预算100%。</w:t>
      </w:r>
    </w:p>
    <w:p>
      <w:pPr>
        <w:spacing w:line="540" w:lineRule="exact"/>
        <w:ind w:firstLine="643" w:firstLineChars="200"/>
        <w:rPr>
          <w:rFonts w:ascii="仿宋" w:hAnsi="仿宋" w:eastAsia="仿宋"/>
          <w:b/>
          <w:sz w:val="32"/>
          <w:szCs w:val="32"/>
        </w:rPr>
      </w:pPr>
      <w:r>
        <w:rPr>
          <w:rStyle w:val="16"/>
          <w:rFonts w:hint="eastAsia" w:ascii="仿宋" w:hAnsi="仿宋" w:eastAsia="仿宋"/>
          <w:bCs/>
          <w:sz w:val="32"/>
          <w:szCs w:val="32"/>
        </w:rPr>
        <w:t>9.住房保障支出（221）住房改革支出（02）住房公积金（01）：</w:t>
      </w:r>
      <w:r>
        <w:rPr>
          <w:rStyle w:val="16"/>
          <w:rFonts w:hint="eastAsia" w:ascii="仿宋" w:hAnsi="仿宋" w:eastAsia="仿宋"/>
          <w:b w:val="0"/>
          <w:sz w:val="32"/>
          <w:szCs w:val="32"/>
        </w:rPr>
        <w:t>支出决算为18.63万元，完成预算100%。</w:t>
      </w:r>
    </w:p>
    <w:p>
      <w:pPr>
        <w:tabs>
          <w:tab w:val="right" w:pos="8306"/>
        </w:tabs>
        <w:ind w:firstLine="640"/>
        <w:outlineLvl w:val="1"/>
        <w:rPr>
          <w:rStyle w:val="20"/>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0"/>
          <w:rFonts w:hint="eastAsia" w:ascii="黑体" w:hAnsi="黑体" w:eastAsia="黑体"/>
          <w:b w:val="0"/>
        </w:rPr>
        <w:t>般公共预算财政拨款基本支出决算情况说明</w:t>
      </w:r>
      <w:bookmarkEnd w:id="36"/>
      <w:bookmarkEnd w:id="37"/>
      <w:r>
        <w:rPr>
          <w:rStyle w:val="20"/>
          <w:rFonts w:ascii="黑体" w:hAnsi="黑体" w:eastAsia="黑体"/>
          <w:b w:val="0"/>
        </w:rPr>
        <w:tab/>
      </w:r>
    </w:p>
    <w:p>
      <w:pPr>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年一般公共预算财政拨款基本支出289.96万元，其中：</w:t>
      </w:r>
    </w:p>
    <w:p>
      <w:pPr>
        <w:ind w:firstLine="645"/>
        <w:rPr>
          <w:rFonts w:ascii="仿宋" w:hAnsi="仿宋" w:eastAsia="仿宋"/>
          <w:color w:val="000000"/>
          <w:sz w:val="32"/>
          <w:szCs w:val="32"/>
        </w:rPr>
      </w:pPr>
      <w:r>
        <w:rPr>
          <w:rFonts w:hint="eastAsia" w:ascii="仿宋" w:hAnsi="仿宋" w:eastAsia="仿宋"/>
          <w:color w:val="000000"/>
          <w:sz w:val="32"/>
          <w:szCs w:val="32"/>
        </w:rPr>
        <w:t>人员经费261.07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28.89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ind w:firstLine="640"/>
        <w:outlineLvl w:val="1"/>
        <w:rPr>
          <w:rStyle w:val="20"/>
          <w:rFonts w:ascii="黑体" w:hAnsi="黑体" w:eastAsia="黑体"/>
          <w:b w:val="0"/>
        </w:rPr>
      </w:pPr>
      <w:bookmarkStart w:id="38" w:name="_Toc15396609"/>
      <w:bookmarkStart w:id="39" w:name="_Toc15377215"/>
      <w:r>
        <w:rPr>
          <w:rFonts w:hint="eastAsia" w:ascii="黑体" w:eastAsia="黑体"/>
          <w:color w:val="000000"/>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38"/>
      <w:bookmarkEnd w:id="39"/>
    </w:p>
    <w:p>
      <w:pPr>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pPr>
        <w:spacing w:line="600" w:lineRule="exact"/>
        <w:ind w:firstLine="640"/>
        <w:rPr>
          <w:rFonts w:ascii="仿宋_GB2312" w:hAnsi="Calibri" w:eastAsia="仿宋_GB2312"/>
          <w:color w:val="000000"/>
          <w:sz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年“三公”经费财政拨款支出决算为4.05万元，完成预算37.22</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，决算数小于预算数的主要原因是控制</w:t>
      </w:r>
      <w:r>
        <w:rPr>
          <w:rFonts w:hint="eastAsia" w:ascii="仿宋_GB2312" w:hAnsi="Calibri" w:eastAsia="仿宋_GB2312"/>
          <w:color w:val="000000"/>
          <w:sz w:val="32"/>
        </w:rPr>
        <w:t>公务接待规模</w:t>
      </w:r>
      <w:r>
        <w:rPr>
          <w:rFonts w:hint="eastAsia" w:ascii="仿宋" w:hAnsi="仿宋" w:eastAsia="仿宋"/>
          <w:color w:val="000000"/>
          <w:sz w:val="32"/>
          <w:szCs w:val="32"/>
        </w:rPr>
        <w:t>。</w:t>
      </w:r>
    </w:p>
    <w:p>
      <w:pPr>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；公务用车购置及运行维护费支出决算3.51万元，占86.67</w:t>
      </w:r>
      <w:r>
        <w:rPr>
          <w:rFonts w:ascii="仿宋" w:hAnsi="仿宋" w:eastAsia="仿宋"/>
          <w:color w:val="000000"/>
          <w:sz w:val="32"/>
          <w:szCs w:val="32"/>
        </w:rPr>
        <w:t>%</w:t>
      </w:r>
      <w:r>
        <w:rPr>
          <w:rFonts w:hint="eastAsia" w:ascii="仿宋" w:hAnsi="仿宋" w:eastAsia="仿宋"/>
          <w:color w:val="000000"/>
          <w:sz w:val="32"/>
          <w:szCs w:val="32"/>
        </w:rPr>
        <w:t>；公务接待费支出决算0.54万元，占13.33</w:t>
      </w:r>
      <w:r>
        <w:rPr>
          <w:rFonts w:ascii="仿宋" w:hAnsi="仿宋" w:eastAsia="仿宋"/>
          <w:color w:val="000000"/>
          <w:sz w:val="32"/>
          <w:szCs w:val="32"/>
        </w:rPr>
        <w:t>%</w:t>
      </w:r>
      <w:r>
        <w:rPr>
          <w:rFonts w:hint="eastAsia" w:ascii="仿宋" w:hAnsi="仿宋" w:eastAsia="仿宋"/>
          <w:color w:val="000000"/>
          <w:sz w:val="32"/>
          <w:szCs w:val="32"/>
        </w:rPr>
        <w:t>。具体情况如下：</w:t>
      </w:r>
    </w:p>
    <w:p>
      <w:pPr>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8</w:t>
      </w:r>
      <w:r>
        <w:rPr>
          <w:rFonts w:hint="eastAsia" w:ascii="仿宋" w:hAnsi="仿宋" w:eastAsia="仿宋"/>
          <w:color w:val="000000"/>
          <w:sz w:val="32"/>
          <w:szCs w:val="32"/>
        </w:rPr>
        <w:t>：“三公”经费财政拨款支出结构）（饼状图）</w:t>
      </w:r>
    </w:p>
    <w:p>
      <w:pPr>
        <w:ind w:firstLine="64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4848225" cy="2343150"/>
            <wp:effectExtent l="19050" t="0" r="9525"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全年安排因公出国（境）团组0次，出国（境）0人。因公出国（境）支出决算与</w:t>
      </w:r>
      <w:r>
        <w:rPr>
          <w:rFonts w:ascii="仿宋_GB2312" w:eastAsia="仿宋_GB2312"/>
          <w:color w:val="000000"/>
          <w:sz w:val="32"/>
          <w:szCs w:val="32"/>
        </w:rPr>
        <w:t>2017</w:t>
      </w:r>
      <w:r>
        <w:rPr>
          <w:rFonts w:hint="eastAsia" w:ascii="仿宋_GB2312" w:eastAsia="仿宋_GB2312"/>
          <w:color w:val="000000"/>
          <w:sz w:val="32"/>
          <w:szCs w:val="32"/>
        </w:rPr>
        <w:t>年持平。</w:t>
      </w:r>
    </w:p>
    <w:p>
      <w:pPr>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3.51万元</w:t>
      </w:r>
      <w:r>
        <w:rPr>
          <w:rFonts w:ascii="仿宋_GB2312" w:eastAsia="仿宋_GB2312"/>
          <w:color w:val="000000"/>
          <w:sz w:val="32"/>
          <w:szCs w:val="32"/>
        </w:rPr>
        <w:t>,</w:t>
      </w:r>
      <w:r>
        <w:rPr>
          <w:rStyle w:val="16"/>
          <w:rFonts w:hint="eastAsia" w:ascii="仿宋" w:hAnsi="仿宋" w:eastAsia="仿宋"/>
          <w:b w:val="0"/>
          <w:bCs/>
          <w:color w:val="000000"/>
          <w:sz w:val="32"/>
          <w:szCs w:val="32"/>
        </w:rPr>
        <w:t>完成预算43.87</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年增加。</w:t>
      </w:r>
    </w:p>
    <w:p>
      <w:pPr>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月底，单位共有公务用车1辆，其中：轿车1辆、越野车0辆、载客汽车0辆。</w:t>
      </w:r>
    </w:p>
    <w:p>
      <w:pPr>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 w:hAnsi="仿宋" w:eastAsia="仿宋"/>
          <w:color w:val="000000"/>
          <w:sz w:val="32"/>
          <w:szCs w:val="32"/>
        </w:rPr>
        <w:t>3.51万元。主要用于</w:t>
      </w:r>
      <w:r>
        <w:rPr>
          <w:rFonts w:ascii="仿宋" w:hAnsi="仿宋" w:eastAsia="仿宋"/>
          <w:sz w:val="32"/>
        </w:rPr>
        <w:t>保障</w:t>
      </w:r>
      <w:r>
        <w:rPr>
          <w:rFonts w:hint="eastAsia" w:ascii="仿宋" w:hAnsi="仿宋" w:eastAsia="仿宋"/>
          <w:sz w:val="32"/>
        </w:rPr>
        <w:t>局机关执行公务活动、</w:t>
      </w:r>
      <w:r>
        <w:rPr>
          <w:rFonts w:hint="eastAsia" w:ascii="仿宋_GB2312" w:eastAsia="仿宋_GB2312"/>
          <w:sz w:val="32"/>
          <w:szCs w:val="32"/>
        </w:rPr>
        <w:t>组织各级各部门深入开展示范创建活动、保证复议工作</w:t>
      </w:r>
      <w:r>
        <w:rPr>
          <w:rFonts w:hint="eastAsia" w:ascii="仿宋" w:hAnsi="仿宋" w:eastAsia="仿宋"/>
          <w:color w:val="000000"/>
          <w:sz w:val="32"/>
          <w:szCs w:val="32"/>
        </w:rPr>
        <w:t>等所需的公务用车燃料费、维修费、过路过桥费、保险费等支出。</w:t>
      </w:r>
    </w:p>
    <w:p>
      <w:pPr>
        <w:spacing w:line="600" w:lineRule="exact"/>
        <w:ind w:firstLine="640"/>
        <w:rPr>
          <w:rFonts w:ascii="仿宋" w:hAnsi="仿宋" w:eastAsia="仿宋"/>
          <w:b/>
          <w:color w:val="000000"/>
          <w:sz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rPr>
        <w:t>0.54万元，</w:t>
      </w:r>
      <w:r>
        <w:rPr>
          <w:rStyle w:val="16"/>
          <w:rFonts w:hint="eastAsia" w:ascii="仿宋" w:hAnsi="仿宋" w:eastAsia="仿宋"/>
          <w:b w:val="0"/>
          <w:bCs/>
          <w:color w:val="000000"/>
          <w:sz w:val="32"/>
          <w:szCs w:val="32"/>
        </w:rPr>
        <w:t>完成预算18.75</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2017</w:t>
      </w:r>
      <w:r>
        <w:rPr>
          <w:rFonts w:hint="eastAsia" w:ascii="仿宋" w:hAnsi="仿宋" w:eastAsia="仿宋"/>
          <w:color w:val="000000"/>
          <w:sz w:val="32"/>
          <w:szCs w:val="32"/>
        </w:rPr>
        <w:t>年减少0.86万元，下降159</w:t>
      </w:r>
      <w:r>
        <w:rPr>
          <w:rFonts w:ascii="仿宋" w:hAnsi="仿宋" w:eastAsia="仿宋"/>
          <w:color w:val="000000"/>
          <w:sz w:val="32"/>
          <w:szCs w:val="32"/>
        </w:rPr>
        <w:t>%</w:t>
      </w:r>
      <w:r>
        <w:rPr>
          <w:rFonts w:hint="eastAsia" w:ascii="仿宋" w:hAnsi="仿宋" w:eastAsia="仿宋"/>
          <w:color w:val="000000"/>
          <w:sz w:val="32"/>
          <w:szCs w:val="32"/>
        </w:rPr>
        <w:t>。主要原因是</w:t>
      </w:r>
      <w:r>
        <w:rPr>
          <w:rFonts w:hint="eastAsia" w:ascii="仿宋" w:hAnsi="仿宋" w:eastAsia="仿宋"/>
          <w:color w:val="000000"/>
          <w:sz w:val="32"/>
        </w:rPr>
        <w:t>认真贯彻落实中央关于厉行节约的要求，加强内部财务管理，严格执行公务接待制度，控制接待标准和次数</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主要用于执行公务、开展业务活动开支的交通费、住宿费、用餐费等。国内公务接待8批次，68人次（不包括陪同人员），共计支出0.54万元.其中：</w:t>
      </w:r>
    </w:p>
    <w:p>
      <w:pPr>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pPr>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bookmarkStart w:id="42" w:name="_Toc15396610"/>
      <w:bookmarkStart w:id="43" w:name="_Toc15377218"/>
    </w:p>
    <w:p>
      <w:pPr>
        <w:ind w:firstLine="640"/>
        <w:outlineLvl w:val="1"/>
        <w:rPr>
          <w:rStyle w:val="20"/>
          <w:rFonts w:ascii="黑体" w:hAnsi="黑体" w:eastAsia="黑体"/>
        </w:rPr>
      </w:pPr>
      <w:r>
        <w:rPr>
          <w:rFonts w:hint="eastAsia" w:ascii="黑体" w:eastAsia="黑体"/>
          <w:color w:val="000000"/>
          <w:sz w:val="32"/>
          <w:szCs w:val="32"/>
        </w:rPr>
        <w:t>八、</w:t>
      </w:r>
      <w:r>
        <w:rPr>
          <w:rStyle w:val="20"/>
          <w:rFonts w:hint="eastAsia" w:ascii="黑体" w:hAnsi="黑体" w:eastAsia="黑体"/>
          <w:b w:val="0"/>
        </w:rPr>
        <w:t>政府性基金预算支出决算情况说明</w:t>
      </w:r>
      <w:bookmarkEnd w:id="42"/>
      <w:bookmarkEnd w:id="43"/>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年政府性基金预算拨款支出0万元。</w:t>
      </w:r>
    </w:p>
    <w:p>
      <w:pPr>
        <w:numPr>
          <w:ilvl w:val="0"/>
          <w:numId w:val="2"/>
        </w:numPr>
        <w:ind w:firstLine="640"/>
        <w:outlineLvl w:val="1"/>
        <w:rPr>
          <w:rStyle w:val="20"/>
          <w:rFonts w:ascii="黑体" w:hAnsi="黑体" w:eastAsia="黑体"/>
          <w:b w:val="0"/>
        </w:rPr>
      </w:pPr>
      <w:bookmarkStart w:id="44" w:name="_Toc15377219"/>
      <w:bookmarkStart w:id="45" w:name="_Toc15396611"/>
      <w:r>
        <w:rPr>
          <w:rStyle w:val="20"/>
          <w:rFonts w:hint="eastAsia" w:ascii="黑体" w:hAnsi="黑体" w:eastAsia="黑体"/>
          <w:b w:val="0"/>
        </w:rPr>
        <w:t>国有资本经营预算支出决算情况说明</w:t>
      </w:r>
      <w:bookmarkEnd w:id="44"/>
      <w:bookmarkEnd w:id="45"/>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年国有资本经营预算拨款支出0万元。</w:t>
      </w:r>
    </w:p>
    <w:p>
      <w:pPr>
        <w:pStyle w:val="29"/>
        <w:numPr>
          <w:ilvl w:val="0"/>
          <w:numId w:val="3"/>
        </w:numPr>
        <w:ind w:firstLineChars="0"/>
        <w:rPr>
          <w:rStyle w:val="20"/>
          <w:rFonts w:ascii="黑体" w:hAnsi="黑体" w:eastAsia="黑体"/>
          <w:b w:val="0"/>
        </w:rPr>
      </w:pPr>
      <w:r>
        <w:rPr>
          <w:rStyle w:val="20"/>
          <w:rFonts w:hint="eastAsia" w:ascii="黑体" w:hAnsi="黑体" w:eastAsia="黑体"/>
          <w:b w:val="0"/>
        </w:rPr>
        <w:t>预算绩效情况说明</w:t>
      </w:r>
    </w:p>
    <w:p>
      <w:pPr>
        <w:numPr>
          <w:ilvl w:val="0"/>
          <w:numId w:val="4"/>
        </w:numPr>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根据预算绩效管理要求，本部门（单位）在年初预算编制阶段，组织对预算项目开展了预算事前绩效评估，对项目编制了绩效目标，年终执行完毕后，对项目开展了绩效目标完成情况梳理填报。</w:t>
      </w:r>
    </w:p>
    <w:p>
      <w:pPr>
        <w:ind w:firstLine="640" w:firstLineChars="200"/>
        <w:rPr>
          <w:rFonts w:ascii="仿宋" w:hAnsi="仿宋" w:eastAsia="仿宋"/>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2018</w:t>
      </w:r>
      <w:r>
        <w:rPr>
          <w:rFonts w:hint="eastAsia" w:ascii="仿宋" w:hAnsi="仿宋" w:eastAsia="仿宋" w:cs="仿宋_GB2312"/>
          <w:sz w:val="32"/>
          <w:szCs w:val="32"/>
        </w:rPr>
        <w:t>年部门整体支出开展绩效自评，从评价情况来看</w:t>
      </w:r>
      <w:r>
        <w:rPr>
          <w:rFonts w:hint="eastAsia" w:ascii="仿宋" w:hAnsi="仿宋" w:eastAsia="仿宋"/>
          <w:sz w:val="32"/>
          <w:szCs w:val="32"/>
        </w:rPr>
        <w:t>从项目完成、项目效益、满意度等方面设置了绩效指标，综合反映项目预期完成的数量、成本、时效、质量，均预期达到了良好的社会效益、可持续影响，服务对象满意度高</w:t>
      </w:r>
      <w:r>
        <w:rPr>
          <w:rFonts w:hint="eastAsia" w:ascii="仿宋" w:hAnsi="仿宋" w:eastAsia="仿宋" w:cs="仿宋_GB2312"/>
          <w:sz w:val="32"/>
          <w:szCs w:val="32"/>
        </w:rPr>
        <w:t>。</w:t>
      </w:r>
    </w:p>
    <w:p>
      <w:pPr>
        <w:numPr>
          <w:ilvl w:val="0"/>
          <w:numId w:val="4"/>
        </w:numPr>
        <w:adjustRightInd w:val="0"/>
        <w:snapToGrid w:val="0"/>
        <w:spacing w:line="540" w:lineRule="exact"/>
        <w:ind w:firstLine="643" w:firstLineChars="200"/>
        <w:jc w:val="left"/>
        <w:rPr>
          <w:rFonts w:ascii="仿宋" w:hAnsi="仿宋" w:eastAsia="仿宋" w:cs="仿宋_GB2312"/>
          <w:sz w:val="32"/>
          <w:szCs w:val="32"/>
        </w:rPr>
      </w:pPr>
      <w:r>
        <w:rPr>
          <w:rFonts w:hint="eastAsia" w:ascii="仿宋" w:hAnsi="仿宋" w:eastAsia="仿宋" w:cs="楷体_GB2312"/>
          <w:b/>
          <w:bCs/>
          <w:sz w:val="32"/>
          <w:szCs w:val="32"/>
        </w:rPr>
        <w:t>项目绩效目标完成情况。</w:t>
      </w:r>
    </w:p>
    <w:p>
      <w:pPr>
        <w:pStyle w:val="29"/>
        <w:adjustRightInd w:val="0"/>
        <w:snapToGrid w:val="0"/>
        <w:spacing w:line="600" w:lineRule="atLeast"/>
        <w:ind w:firstLine="800" w:firstLineChars="250"/>
        <w:jc w:val="left"/>
        <w:rPr>
          <w:rFonts w:ascii="仿宋" w:hAnsi="仿宋" w:eastAsia="仿宋"/>
          <w:sz w:val="32"/>
          <w:szCs w:val="32"/>
        </w:rPr>
      </w:pPr>
      <w:r>
        <w:rPr>
          <w:rFonts w:hint="eastAsia" w:ascii="仿宋" w:hAnsi="仿宋" w:eastAsia="仿宋"/>
          <w:color w:val="000000"/>
          <w:sz w:val="32"/>
          <w:szCs w:val="32"/>
        </w:rPr>
        <w:t>按照预算绩效管理要求，本部门对2018年整体支出开展绩效自评，自评得分95分，存在的问题：一是</w:t>
      </w:r>
      <w:r>
        <w:rPr>
          <w:rFonts w:hint="eastAsia" w:ascii="仿宋" w:hAnsi="仿宋" w:eastAsia="仿宋" w:cs="仿宋"/>
          <w:sz w:val="32"/>
          <w:szCs w:val="32"/>
        </w:rPr>
        <w:t>在执行预算开支方面，存在上半年执行较慢的情况；二是2018年部门预算执行评估工作开展不充分；三是资产信息系统实时录入工作需加强，对购置的固定资产和变更使用人的固定资产不能做到实时更新。</w:t>
      </w:r>
      <w:r>
        <w:rPr>
          <w:rFonts w:hint="eastAsia" w:ascii="仿宋" w:hAnsi="仿宋" w:eastAsia="仿宋"/>
          <w:color w:val="000000"/>
          <w:sz w:val="32"/>
          <w:szCs w:val="32"/>
        </w:rPr>
        <w:t>下一步改进措施：</w:t>
      </w:r>
      <w:r>
        <w:rPr>
          <w:rFonts w:hint="eastAsia" w:ascii="仿宋" w:hAnsi="仿宋" w:eastAsia="仿宋" w:cs="仿宋"/>
          <w:sz w:val="32"/>
          <w:szCs w:val="32"/>
        </w:rPr>
        <w:t>一是加强预算编制管理，做深做细预算编制工作；二是认真做好中期评估，动态实时把握预算执行情况，强化预算执行力度；三是加强财务会计人员的业务培训，严格执行会计基础工作规范，及时准确反映单位经济活动，及时反映单位资产变动情况。</w:t>
      </w:r>
    </w:p>
    <w:p>
      <w:pPr>
        <w:numPr>
          <w:ilvl w:val="0"/>
          <w:numId w:val="4"/>
        </w:numPr>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2018</w:t>
      </w:r>
      <w:r>
        <w:rPr>
          <w:rFonts w:hint="eastAsia" w:ascii="仿宋" w:hAnsi="仿宋" w:eastAsia="仿宋" w:cs="仿宋_GB2312"/>
          <w:sz w:val="32"/>
          <w:szCs w:val="32"/>
        </w:rPr>
        <w:t>年部门整体支出绩效评价情况开展自评，《市司法局</w:t>
      </w:r>
      <w:r>
        <w:rPr>
          <w:rFonts w:ascii="仿宋" w:hAnsi="仿宋" w:eastAsia="仿宋" w:cs="仿宋_GB2312"/>
          <w:sz w:val="32"/>
          <w:szCs w:val="32"/>
        </w:rPr>
        <w:t>2018</w:t>
      </w:r>
      <w:r>
        <w:rPr>
          <w:rFonts w:hint="eastAsia" w:ascii="仿宋" w:hAnsi="仿宋" w:eastAsia="仿宋" w:cs="仿宋_GB2312"/>
          <w:sz w:val="32"/>
          <w:szCs w:val="32"/>
        </w:rPr>
        <w:t>年部门整体支出绩效评价报告》见附件。</w:t>
      </w:r>
    </w:p>
    <w:p>
      <w:pPr>
        <w:ind w:firstLine="800" w:firstLineChars="250"/>
        <w:outlineLvl w:val="1"/>
        <w:rPr>
          <w:rStyle w:val="20"/>
          <w:rFonts w:ascii="黑体" w:hAnsi="黑体" w:eastAsia="黑体"/>
        </w:rPr>
      </w:pPr>
      <w:bookmarkStart w:id="46" w:name="_Toc15396612"/>
      <w:bookmarkStart w:id="47" w:name="_Toc15377221"/>
      <w:r>
        <w:rPr>
          <w:rFonts w:hint="eastAsia" w:ascii="黑体" w:hAnsi="黑体" w:eastAsia="黑体"/>
          <w:color w:val="000000"/>
          <w:sz w:val="32"/>
          <w:szCs w:val="32"/>
        </w:rPr>
        <w:t>十</w:t>
      </w:r>
      <w:r>
        <w:rPr>
          <w:rStyle w:val="20"/>
          <w:rFonts w:hint="eastAsia" w:ascii="黑体" w:hAnsi="黑体" w:eastAsia="黑体"/>
        </w:rPr>
        <w:t>一、</w:t>
      </w:r>
      <w:r>
        <w:rPr>
          <w:rStyle w:val="20"/>
          <w:rFonts w:hint="eastAsia" w:ascii="黑体" w:hAnsi="黑体" w:eastAsia="黑体"/>
          <w:b w:val="0"/>
        </w:rPr>
        <w:t>其他重要事项的情况说明</w:t>
      </w:r>
      <w:bookmarkEnd w:id="46"/>
      <w:bookmarkEnd w:id="47"/>
    </w:p>
    <w:p>
      <w:pPr>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pPr>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年，市司法局机关运行经费支出28.89万元，与</w:t>
      </w:r>
      <w:r>
        <w:rPr>
          <w:rFonts w:ascii="仿宋" w:hAnsi="仿宋" w:eastAsia="仿宋"/>
          <w:color w:val="000000"/>
          <w:sz w:val="32"/>
          <w:szCs w:val="32"/>
        </w:rPr>
        <w:t>2017</w:t>
      </w:r>
      <w:r>
        <w:rPr>
          <w:rFonts w:hint="eastAsia" w:ascii="仿宋" w:hAnsi="仿宋" w:eastAsia="仿宋"/>
          <w:color w:val="000000"/>
          <w:sz w:val="32"/>
          <w:szCs w:val="32"/>
        </w:rPr>
        <w:t>年增加1.94万元，增长6.72</w:t>
      </w:r>
      <w:r>
        <w:rPr>
          <w:rFonts w:ascii="仿宋" w:hAnsi="仿宋" w:eastAsia="仿宋"/>
          <w:color w:val="000000"/>
          <w:sz w:val="32"/>
          <w:szCs w:val="32"/>
        </w:rPr>
        <w:t>%</w:t>
      </w:r>
      <w:r>
        <w:rPr>
          <w:rFonts w:hint="eastAsia" w:ascii="仿宋" w:hAnsi="仿宋" w:eastAsia="仿宋"/>
          <w:color w:val="000000"/>
          <w:sz w:val="32"/>
          <w:szCs w:val="32"/>
        </w:rPr>
        <w:t>。主要原因是机关运行经费正常范围内波动。</w:t>
      </w:r>
    </w:p>
    <w:p>
      <w:pPr>
        <w:autoSpaceDE w:val="0"/>
        <w:autoSpaceDN w:val="0"/>
        <w:adjustRightInd w:val="0"/>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pPr>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市司法局政府采购支出总额0万元，其中：政府采购货物支出0万元、政府采购工程支出0万元、政府采购服务支出0万元。主要用于日常办公桌椅、办公电脑等采购。授予中小企业合同金额0万元，占政府采购支出总额的100</w:t>
      </w:r>
      <w:r>
        <w:rPr>
          <w:rFonts w:ascii="仿宋" w:hAnsi="仿宋" w:eastAsia="仿宋"/>
          <w:color w:val="000000"/>
          <w:sz w:val="32"/>
          <w:szCs w:val="32"/>
        </w:rPr>
        <w:t>%</w:t>
      </w:r>
      <w:r>
        <w:rPr>
          <w:rFonts w:hint="eastAsia" w:ascii="仿宋" w:hAnsi="仿宋" w:eastAsia="仿宋"/>
          <w:color w:val="000000"/>
          <w:sz w:val="32"/>
          <w:szCs w:val="32"/>
        </w:rPr>
        <w:t>，其中：授予小微企业合同金额0万元，占政府采购支出总额的100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pPr>
        <w:autoSpaceDE w:val="0"/>
        <w:autoSpaceDN w:val="0"/>
        <w:adjustRightInd w:val="0"/>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日，市司法局共有车辆1辆，其中：部级领导干部用车0辆、一般公务用车0辆、一般执法执勤用车1辆、特种专业技术用车0辆、其他用车0辆.单价</w:t>
      </w:r>
      <w:r>
        <w:rPr>
          <w:rFonts w:ascii="仿宋" w:hAnsi="仿宋" w:eastAsia="仿宋"/>
          <w:color w:val="000000"/>
          <w:sz w:val="32"/>
          <w:szCs w:val="32"/>
        </w:rPr>
        <w:t>50</w:t>
      </w:r>
      <w:r>
        <w:rPr>
          <w:rFonts w:hint="eastAsia" w:ascii="仿宋" w:hAnsi="仿宋" w:eastAsia="仿宋"/>
          <w:color w:val="000000"/>
          <w:sz w:val="32"/>
          <w:szCs w:val="32"/>
        </w:rPr>
        <w:t>万元以上通用设备1台（套），单价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ind w:firstLine="663" w:firstLineChars="150"/>
        <w:jc w:val="center"/>
        <w:outlineLvl w:val="0"/>
        <w:rPr>
          <w:rStyle w:val="19"/>
          <w:rFonts w:ascii="黑体" w:hAnsi="黑体" w:eastAsia="黑体"/>
          <w:b w:val="0"/>
        </w:rPr>
      </w:pPr>
      <w:bookmarkStart w:id="51" w:name="_Toc15377225"/>
      <w:bookmarkStart w:id="52" w:name="_Toc15396613"/>
      <w:r>
        <w:rPr>
          <w:rFonts w:hint="eastAsia" w:ascii="黑体" w:hAnsi="黑体" w:eastAsia="黑体"/>
          <w:b/>
          <w:color w:val="000000"/>
          <w:sz w:val="44"/>
          <w:szCs w:val="44"/>
        </w:rPr>
        <w:t>名</w:t>
      </w:r>
      <w:r>
        <w:rPr>
          <w:rStyle w:val="19"/>
          <w:rFonts w:hint="eastAsia" w:ascii="黑体" w:hAnsi="黑体" w:eastAsia="黑体"/>
          <w:b w:val="0"/>
        </w:rPr>
        <w:t>词解释</w:t>
      </w:r>
      <w:bookmarkEnd w:id="51"/>
      <w:bookmarkEnd w:id="52"/>
    </w:p>
    <w:p>
      <w:pPr>
        <w:jc w:val="left"/>
        <w:rPr>
          <w:rFonts w:ascii="宋体"/>
          <w:b/>
          <w:color w:val="000000"/>
          <w:sz w:val="44"/>
          <w:szCs w:val="44"/>
        </w:rPr>
      </w:pPr>
    </w:p>
    <w:p>
      <w:pPr>
        <w:pStyle w:val="28"/>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其他收入：指单位取得的除上述收入以外的各项收入。主要是银行利息收入等。</w:t>
      </w:r>
    </w:p>
    <w:p>
      <w:pPr>
        <w:pStyle w:val="28"/>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8"/>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8"/>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Style w:val="16"/>
          <w:rFonts w:ascii="仿宋" w:hAnsi="仿宋" w:eastAsia="仿宋"/>
          <w:b w:val="0"/>
          <w:bCs/>
          <w:color w:val="FF0000"/>
          <w:sz w:val="32"/>
          <w:szCs w:val="32"/>
        </w:rPr>
      </w:pPr>
      <w:r>
        <w:rPr>
          <w:rFonts w:ascii="仿宋" w:hAnsi="仿宋" w:eastAsia="仿宋"/>
          <w:color w:val="000000"/>
          <w:sz w:val="32"/>
          <w:szCs w:val="32"/>
        </w:rPr>
        <w:t>9.</w:t>
      </w:r>
      <w:r>
        <w:rPr>
          <w:rFonts w:hint="eastAsia" w:ascii="仿宋" w:hAnsi="仿宋" w:eastAsia="仿宋"/>
          <w:sz w:val="32"/>
          <w:szCs w:val="32"/>
        </w:rPr>
        <w:t xml:space="preserve"> </w:t>
      </w:r>
      <w:r>
        <w:rPr>
          <w:rStyle w:val="16"/>
          <w:rFonts w:hint="eastAsia" w:ascii="仿宋" w:hAnsi="仿宋" w:eastAsia="仿宋"/>
          <w:b w:val="0"/>
          <w:bCs/>
          <w:color w:val="000000"/>
          <w:sz w:val="32"/>
          <w:szCs w:val="32"/>
        </w:rPr>
        <w:t>一般公共服务（201）政府办公厅（室）及相关机构事务（03）行政运行（01）: 指反映行政单位（包括实行公务员管理的事业单位）的基本支出。</w:t>
      </w:r>
    </w:p>
    <w:p>
      <w:pPr>
        <w:spacing w:line="600" w:lineRule="exact"/>
        <w:ind w:firstLine="640" w:firstLineChars="200"/>
        <w:rPr>
          <w:rFonts w:ascii="仿宋" w:hAnsi="仿宋" w:eastAsia="仿宋"/>
          <w:color w:val="FF0000"/>
          <w:sz w:val="32"/>
          <w:szCs w:val="32"/>
        </w:rPr>
      </w:pPr>
      <w:r>
        <w:rPr>
          <w:rStyle w:val="16"/>
          <w:rFonts w:hint="eastAsia" w:ascii="仿宋" w:hAnsi="仿宋" w:eastAsia="仿宋"/>
          <w:b w:val="0"/>
          <w:bCs/>
          <w:color w:val="000000"/>
          <w:sz w:val="32"/>
          <w:szCs w:val="32"/>
        </w:rPr>
        <w:t>10.一般公共服务（201）政府办公厅（室）及相关机构事务（03）一般行政管理事务（02）: 指反映行政单位（包括实行公务员管理的事业单位）未独立设置项级科目的其他项目支出。</w:t>
      </w:r>
    </w:p>
    <w:p>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color w:val="000000"/>
          <w:sz w:val="32"/>
          <w:szCs w:val="32"/>
        </w:rPr>
        <w:t>11.一般公共服务（201）政府办公厅（室）及相关机构事务（03）专项业务活动（05）: 反映各级政府举行各类重大活动、召开重要会议的支出，政府机关房地产管理、公务用车管理等方面的支出。</w:t>
      </w:r>
    </w:p>
    <w:p>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sz w:val="32"/>
          <w:szCs w:val="32"/>
        </w:rPr>
        <w:t>12.</w:t>
      </w:r>
      <w:r>
        <w:rPr>
          <w:rStyle w:val="16"/>
          <w:rFonts w:hint="eastAsia" w:ascii="仿宋" w:hAnsi="仿宋" w:eastAsia="仿宋"/>
          <w:b w:val="0"/>
          <w:bCs/>
          <w:color w:val="000000"/>
          <w:sz w:val="32"/>
          <w:szCs w:val="32"/>
        </w:rPr>
        <w:t>一般公共服务（201）政府办公厅（室）及相关机构事务（03）法制建设（07）: 反映各级政府用于法制建设方面的支出。</w:t>
      </w:r>
    </w:p>
    <w:p>
      <w:pPr>
        <w:spacing w:line="600" w:lineRule="exact"/>
        <w:ind w:firstLine="640" w:firstLineChars="200"/>
        <w:rPr>
          <w:rStyle w:val="16"/>
          <w:rFonts w:ascii="仿宋" w:hAnsi="仿宋" w:eastAsia="仿宋"/>
          <w:b w:val="0"/>
          <w:bCs/>
          <w:color w:val="000000"/>
          <w:sz w:val="32"/>
          <w:szCs w:val="32"/>
        </w:rPr>
      </w:pPr>
      <w:r>
        <w:rPr>
          <w:rStyle w:val="16"/>
          <w:rFonts w:hint="eastAsia" w:ascii="仿宋" w:hAnsi="仿宋" w:eastAsia="仿宋"/>
          <w:b w:val="0"/>
          <w:bCs/>
          <w:sz w:val="32"/>
          <w:szCs w:val="32"/>
        </w:rPr>
        <w:t>13.</w:t>
      </w:r>
      <w:r>
        <w:rPr>
          <w:rStyle w:val="16"/>
          <w:rFonts w:hint="eastAsia" w:ascii="仿宋" w:hAnsi="仿宋" w:eastAsia="仿宋"/>
          <w:b w:val="0"/>
          <w:bCs/>
          <w:color w:val="000000"/>
          <w:sz w:val="32"/>
          <w:szCs w:val="32"/>
        </w:rPr>
        <w:t>一般公共服务（201）政府办公厅（室）及相关机构事务（03）其他政府办公厅（室）及相关机构事务支出（99）: 指反映除上述项目以外的其他政府办公厅（室）及相关机构事务支出。</w:t>
      </w:r>
    </w:p>
    <w:p>
      <w:pPr>
        <w:spacing w:line="600" w:lineRule="exact"/>
        <w:ind w:firstLine="640" w:firstLineChars="200"/>
        <w:rPr>
          <w:rFonts w:ascii="仿宋" w:hAnsi="仿宋" w:eastAsia="仿宋"/>
          <w:sz w:val="32"/>
          <w:szCs w:val="32"/>
        </w:rPr>
      </w:pPr>
      <w:r>
        <w:rPr>
          <w:rStyle w:val="16"/>
          <w:rFonts w:hint="eastAsia" w:ascii="仿宋" w:hAnsi="仿宋" w:eastAsia="仿宋"/>
          <w:b w:val="0"/>
          <w:bCs/>
          <w:sz w:val="32"/>
          <w:szCs w:val="32"/>
        </w:rPr>
        <w:t>14.社会保障和就业支出（208）行政事业单位离退休（05）未归口管理的行政单位离退休（04）：指反映未实行归口管理的行政单位（包括实行公务员管理的事业单位）开支的离退休支出。</w:t>
      </w:r>
    </w:p>
    <w:p>
      <w:pPr>
        <w:spacing w:line="600" w:lineRule="exact"/>
        <w:ind w:firstLine="640" w:firstLineChars="200"/>
        <w:rPr>
          <w:rStyle w:val="16"/>
          <w:rFonts w:ascii="仿宋" w:hAnsi="仿宋" w:eastAsia="仿宋"/>
          <w:b w:val="0"/>
          <w:bCs/>
          <w:color w:val="000000"/>
          <w:sz w:val="32"/>
          <w:szCs w:val="32"/>
        </w:rPr>
      </w:pPr>
      <w:r>
        <w:rPr>
          <w:rFonts w:hint="eastAsia" w:ascii="仿宋" w:hAnsi="仿宋" w:eastAsia="仿宋"/>
          <w:sz w:val="32"/>
          <w:szCs w:val="32"/>
        </w:rPr>
        <w:t>15.</w:t>
      </w:r>
      <w:r>
        <w:rPr>
          <w:rStyle w:val="16"/>
          <w:rFonts w:hint="eastAsia" w:ascii="仿宋" w:hAnsi="仿宋" w:eastAsia="仿宋"/>
          <w:b w:val="0"/>
          <w:bCs/>
          <w:sz w:val="32"/>
          <w:szCs w:val="32"/>
        </w:rPr>
        <w:t>社会保障和就业支出（208）行政事业单位离退休（05）机关事业单位基本养老保险缴费支出（05）：</w:t>
      </w:r>
      <w:r>
        <w:rPr>
          <w:rStyle w:val="16"/>
          <w:rFonts w:hint="eastAsia" w:ascii="仿宋" w:hAnsi="仿宋" w:eastAsia="仿宋"/>
          <w:b w:val="0"/>
          <w:bCs/>
          <w:color w:val="000000"/>
          <w:sz w:val="32"/>
          <w:szCs w:val="32"/>
        </w:rPr>
        <w:t xml:space="preserve"> 指反映机关事业单位实施养老保险制度由单位缴纳的基本养老保险费支出。</w:t>
      </w:r>
    </w:p>
    <w:p>
      <w:pPr>
        <w:ind w:firstLine="640" w:firstLineChars="200"/>
        <w:rPr>
          <w:rFonts w:ascii="仿宋" w:hAnsi="仿宋" w:eastAsia="仿宋"/>
          <w:color w:val="000000"/>
          <w:sz w:val="32"/>
          <w:szCs w:val="32"/>
        </w:rPr>
      </w:pPr>
      <w:r>
        <w:rPr>
          <w:rFonts w:hint="eastAsia" w:ascii="仿宋" w:hAnsi="仿宋" w:eastAsia="仿宋"/>
          <w:sz w:val="32"/>
          <w:szCs w:val="32"/>
        </w:rPr>
        <w:t>16.医疗卫生与计划生育支出（210）行政事业单位医疗（11）行政单位医疗（01）：</w:t>
      </w:r>
      <w:r>
        <w:rPr>
          <w:rFonts w:hint="eastAsia" w:ascii="仿宋" w:hAnsi="仿宋" w:eastAsia="仿宋"/>
          <w:color w:val="000000"/>
          <w:sz w:val="32"/>
          <w:szCs w:val="32"/>
        </w:rPr>
        <w:t>指反映财政部门集中安排的行政单位基本医疗保险缴费经费，未参加医疗保险的行政单位的公费医疗经费，按国家规定享受离休人员、红军老战士待遇人员的医疗经费。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 w:hAnsi="仿宋" w:eastAsia="仿宋"/>
          <w:b/>
          <w:sz w:val="32"/>
          <w:szCs w:val="32"/>
        </w:rPr>
      </w:pPr>
      <w:r>
        <w:rPr>
          <w:rStyle w:val="16"/>
          <w:rFonts w:hint="eastAsia" w:ascii="仿宋" w:hAnsi="仿宋" w:eastAsia="仿宋"/>
          <w:b w:val="0"/>
          <w:bCs/>
          <w:sz w:val="32"/>
          <w:szCs w:val="32"/>
        </w:rPr>
        <w:t>17.住房保障支出（221）住房改革支出（02）住房公积金（01）：</w:t>
      </w:r>
      <w:r>
        <w:rPr>
          <w:rFonts w:hint="eastAsia" w:ascii="仿宋" w:hAnsi="仿宋" w:eastAsia="仿宋"/>
          <w:color w:val="000000"/>
          <w:sz w:val="32"/>
          <w:szCs w:val="32"/>
        </w:rPr>
        <w:t>指反映行政事业单位按人力资源和社会保障部、财政部规定的基本工资和津贴补贴以及规定比例为职工缴纳的住房公积金</w:t>
      </w:r>
      <w:r>
        <w:rPr>
          <w:rStyle w:val="16"/>
          <w:rFonts w:hint="eastAsia" w:ascii="仿宋" w:hAnsi="仿宋" w:eastAsia="仿宋"/>
          <w:b w:val="0"/>
          <w:sz w:val="32"/>
          <w:szCs w:val="32"/>
        </w:rPr>
        <w:t>。</w:t>
      </w:r>
    </w:p>
    <w:p>
      <w:pPr>
        <w:ind w:firstLine="640"/>
        <w:rPr>
          <w:rFonts w:ascii="仿宋_GB2312" w:eastAsia="仿宋_GB2312"/>
          <w:color w:val="000000"/>
          <w:sz w:val="32"/>
          <w:szCs w:val="32"/>
        </w:rPr>
      </w:pPr>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ind w:firstLine="640" w:firstLineChars="200"/>
        <w:rPr>
          <w:rFonts w:ascii="仿宋_GB2312" w:eastAsia="仿宋_GB2312"/>
          <w:sz w:val="32"/>
          <w:szCs w:val="32"/>
        </w:rPr>
      </w:pPr>
      <w:r>
        <w:rPr>
          <w:rFonts w:hint="eastAsia" w:ascii="仿宋_GB2312" w:eastAsia="仿宋_GB2312"/>
          <w:sz w:val="32"/>
          <w:szCs w:val="32"/>
        </w:rPr>
        <w:t>21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ind w:firstLine="640" w:firstLineChars="200"/>
        <w:rPr>
          <w:rFonts w:ascii="仿宋_GB2312" w:eastAsia="仿宋_GB2312"/>
          <w:sz w:val="32"/>
          <w:szCs w:val="32"/>
        </w:rPr>
      </w:pPr>
      <w:r>
        <w:rPr>
          <w:rFonts w:hint="eastAsia" w:ascii="仿宋_GB2312" w:eastAsia="仿宋_GB2312"/>
          <w:sz w:val="32"/>
          <w:szCs w:val="32"/>
        </w:rPr>
        <w:t>22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outlineLvl w:val="0"/>
        <w:rPr>
          <w:rStyle w:val="19"/>
          <w:rFonts w:ascii="黑体" w:hAnsi="黑体" w:eastAsia="黑体"/>
          <w:b w:val="0"/>
        </w:rPr>
      </w:pPr>
      <w:bookmarkStart w:id="53" w:name="_Toc15377226"/>
      <w:r>
        <w:rPr>
          <w:rFonts w:ascii="宋体"/>
          <w:b/>
          <w:color w:val="000000"/>
          <w:sz w:val="44"/>
          <w:szCs w:val="44"/>
        </w:rPr>
        <w:br w:type="page"/>
      </w:r>
      <w:bookmarkStart w:id="54" w:name="_Toc15396614"/>
      <w:r>
        <w:rPr>
          <w:rFonts w:hint="eastAsia" w:ascii="黑体" w:hAnsi="黑体" w:eastAsia="黑体"/>
          <w:color w:val="000000"/>
          <w:sz w:val="44"/>
          <w:szCs w:val="44"/>
        </w:rPr>
        <w:t>第</w:t>
      </w:r>
      <w:r>
        <w:rPr>
          <w:rStyle w:val="19"/>
          <w:rFonts w:hint="eastAsia" w:ascii="黑体" w:hAnsi="黑体" w:eastAsia="黑体"/>
          <w:b w:val="0"/>
        </w:rPr>
        <w:t>四部分</w:t>
      </w:r>
      <w:r>
        <w:rPr>
          <w:rStyle w:val="19"/>
          <w:rFonts w:ascii="黑体" w:hAnsi="黑体" w:eastAsia="黑体"/>
          <w:b w:val="0"/>
        </w:rPr>
        <w:t xml:space="preserve"> </w:t>
      </w:r>
      <w:r>
        <w:rPr>
          <w:rStyle w:val="19"/>
          <w:rFonts w:hint="eastAsia" w:ascii="黑体" w:hAnsi="黑体" w:eastAsia="黑体"/>
          <w:b w:val="0"/>
        </w:rPr>
        <w:t>附件</w:t>
      </w:r>
      <w:bookmarkEnd w:id="54"/>
    </w:p>
    <w:p>
      <w:pPr>
        <w:jc w:val="center"/>
        <w:outlineLvl w:val="0"/>
        <w:rPr>
          <w:rStyle w:val="19"/>
        </w:rPr>
      </w:pPr>
    </w:p>
    <w:p>
      <w:pPr>
        <w:pStyle w:val="3"/>
        <w:spacing w:line="240" w:lineRule="auto"/>
        <w:rPr>
          <w:rStyle w:val="19"/>
          <w:rFonts w:ascii="仿宋" w:hAnsi="仿宋" w:eastAsia="仿宋"/>
          <w:b w:val="0"/>
          <w:bCs w:val="0"/>
          <w:sz w:val="32"/>
          <w:szCs w:val="32"/>
        </w:rPr>
      </w:pPr>
      <w:bookmarkStart w:id="55" w:name="_Toc15396615"/>
      <w:r>
        <w:rPr>
          <w:rStyle w:val="19"/>
          <w:rFonts w:hint="eastAsia" w:ascii="仿宋" w:hAnsi="仿宋" w:eastAsia="仿宋"/>
          <w:b w:val="0"/>
          <w:bCs w:val="0"/>
          <w:sz w:val="32"/>
          <w:szCs w:val="32"/>
        </w:rPr>
        <w:t>附件</w:t>
      </w:r>
      <w:r>
        <w:rPr>
          <w:rStyle w:val="19"/>
          <w:rFonts w:ascii="仿宋" w:hAnsi="仿宋" w:eastAsia="仿宋"/>
          <w:b w:val="0"/>
          <w:bCs w:val="0"/>
          <w:sz w:val="32"/>
          <w:szCs w:val="32"/>
        </w:rPr>
        <w:t>1</w:t>
      </w:r>
      <w:bookmarkEnd w:id="55"/>
    </w:p>
    <w:p>
      <w:pPr>
        <w:jc w:val="center"/>
        <w:outlineLvl w:val="0"/>
        <w:rPr>
          <w:rFonts w:ascii="黑体" w:hAnsi="黑体" w:eastAsia="黑体" w:cs="方正小标宋简体"/>
          <w:sz w:val="36"/>
          <w:szCs w:val="36"/>
        </w:rPr>
      </w:pPr>
      <w:bookmarkStart w:id="56" w:name="_Toc15396616"/>
      <w:r>
        <w:rPr>
          <w:rFonts w:hint="eastAsia" w:ascii="黑体" w:hAnsi="黑体" w:eastAsia="黑体" w:cs="方正小标宋简体"/>
          <w:sz w:val="36"/>
          <w:szCs w:val="36"/>
        </w:rPr>
        <w:t>遂宁市司法局</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56"/>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（一）机构职能。</w:t>
      </w:r>
    </w:p>
    <w:p>
      <w:pPr>
        <w:spacing w:line="24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市政府法制办基本职能：贯彻执行国家依法行政工作的方针、政策和法律、法规，负责全市依法行政工作的组织协调和监督指导，研究依法行政和政府法治建设中出现的新情况、新问题，提出推进依法行政的具体措施和工作建议；拟订市政府年度规范性文件制定计划，经市政府批准后组织实施并督促指导；负责起草或组织起草重要的规范性文件草案，审查、协调、修改市政府有关部门和单位报送市政府审议的规范性文件草案，并向市政府常务会作规范性文件草案审核说明，组织、承办上级发送市政府征求意见的法律、法规、规章和规范性文件草案，并汇总上报修改意见；协调法律、法规、规章、规范性文件实施过程中的矛盾和冲突，负责有关法律、法规、规章和规范性文件实施中的指导；承办县（区）政府和市政府部门规范性文件的备案审查工作，负责市政府规范性文件向省政府和市人大常委会报送备案工作，负责市政府规范性文件、重大决策、重要行政措施发布前的合法性审查；监督、指导全市规范性文件审查及清理工作，组织清理市政府规范性文件，并对其中与新公布的法律、法规、规章和上级规定相抵触的文件，提出修改或废止的意见，依照规定编辑规范性文件汇编和部门执法所依据的法律、法规、规章以及规范性文件目录；负责清理市政府有关部门的文件，组织清理行政审批事项；依法开展行政执法监督工作，对行政执法部门（或单位）的具体行政行为实施日常监督检查，监督纠正本级政府工作部门和下级政府作出的违法或不当的行政行为，负责全市使用四川省行政执法证件、行政执法监督检查证件的颁发、审验和管理工作，负责对市政府各部门、县（区）政府法制工作人员和市政府各执法部门（单位）的行政执法人员的培训工作；研究行政处罚、行政许可、行政强制、行政审批、行政收费、行政执行、行政复议、行政诉讼、行政赔偿、行政调解等方面带有普遍性的问题，向市政府提出改进工作、完善制度的建议，拟订有关配套的文件和答复意见；指导、监督全市行政复议、行政应诉和行政赔偿工作，承办向市政府申请的行政复议、行政赔偿案件，代理市政府行政应诉案件、民事案件、行政赔偿案件，并按规定向省政府法制办上报全市政府法制工作、行政复议案件、应诉案件等报表；组织、协调、指导和监督推进相对集中行政处罚权工作；牵头负责全市行政调解的指导、督促和协调工作；负责组织实施市政府行政行为听证事项，对县（区）政府和市政府部门听证行为进行指导、监督；按照省政府法制办和省政府目标办的要求，负责组织实施我市全面推进依法行政工作和对县（区）人民政府、市政府所属工作部门进行依法行政目标考核；负责政府法制理论与实践的研究和交流，组织本系统干部培训、开展政府法制宣传、咨询工作；负责市政府法律顾问团的运行及指导市政府各部门法律顾问工作；指导管理协调全市仲裁业务工作。</w:t>
      </w:r>
    </w:p>
    <w:p>
      <w:pPr>
        <w:spacing w:line="240" w:lineRule="atLeast"/>
        <w:ind w:firstLine="640" w:firstLineChars="200"/>
        <w:rPr>
          <w:rFonts w:ascii="仿宋" w:hAnsi="仿宋" w:eastAsia="仿宋" w:cs="仿宋"/>
          <w:sz w:val="32"/>
          <w:szCs w:val="32"/>
        </w:rPr>
      </w:pPr>
      <w:r>
        <w:rPr>
          <w:rFonts w:hint="eastAsia" w:ascii="仿宋" w:hAnsi="仿宋" w:eastAsia="仿宋" w:cs="仿宋"/>
          <w:sz w:val="32"/>
          <w:szCs w:val="32"/>
        </w:rPr>
        <w:t>仲裁办基本职能：宣传、贯彻《仲裁法》和相关法律法规，推行仲裁法律制度; 负责承办仲裁委员会主任会议、委员会会议、仲裁委员会换届及仲裁员的培训等工作;具体办理仲裁案件受理、仲裁文书送达、档案管理等程序性事务;收取和管理仲裁费用; 办理国务院、省政府、市政府法制部门和市委、市政府交办的有关工作;办理仲裁委员会交办的其他事务。</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（二）机构职能。</w:t>
      </w:r>
    </w:p>
    <w:p>
      <w:pPr>
        <w:ind w:firstLine="640"/>
        <w:rPr>
          <w:rFonts w:ascii="仿宋" w:hAnsi="仿宋" w:eastAsia="仿宋" w:cs="仿宋"/>
          <w:sz w:val="32"/>
          <w:szCs w:val="32"/>
        </w:rPr>
      </w:pPr>
      <w:r>
        <w:rPr>
          <w:rFonts w:hint="eastAsia" w:ascii="仿宋" w:hAnsi="仿宋" w:eastAsia="仿宋" w:cs="仿宋"/>
          <w:sz w:val="32"/>
          <w:szCs w:val="32"/>
        </w:rPr>
        <w:t>根据遂宁市人民政府办公室《关于印发&lt;遂宁市人民政府办公室主要职责内设机构和人员编制规定&gt;的通知》（遂府办发〔2014〕15号）规定，遂宁市人民政府办公室挂遂宁市人民政府法制办公室牌子，遂宁市人民政府法制办公室是遂宁市人民政府办公室挂牌行政单位。</w:t>
      </w:r>
    </w:p>
    <w:p>
      <w:pPr>
        <w:ind w:firstLine="640" w:firstLineChars="200"/>
        <w:rPr>
          <w:rFonts w:ascii="仿宋" w:hAnsi="仿宋" w:eastAsia="仿宋" w:cs="仿宋"/>
          <w:sz w:val="32"/>
          <w:szCs w:val="32"/>
        </w:rPr>
      </w:pPr>
      <w:r>
        <w:rPr>
          <w:rFonts w:hint="eastAsia" w:ascii="仿宋" w:hAnsi="仿宋" w:eastAsia="仿宋" w:cs="仿宋"/>
          <w:sz w:val="32"/>
          <w:szCs w:val="32"/>
        </w:rPr>
        <w:t>遂宁市人民政府法制办公室（以下简称“市政府法制办”）有下属二级预算单位1个，即遂宁仲裁委员会办事处（以下简称“仲裁办”），属参照公务员法管理的事业单位。遂宁市人民政府法制办公室及遂宁仲裁委员会办事处以下简称“市法制办机关”。</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（三）人员概况。</w:t>
      </w:r>
    </w:p>
    <w:p>
      <w:pPr>
        <w:ind w:firstLine="640" w:firstLineChars="200"/>
        <w:rPr>
          <w:rFonts w:ascii="仿宋" w:hAnsi="仿宋" w:eastAsia="仿宋" w:cs="仿宋"/>
          <w:sz w:val="32"/>
          <w:szCs w:val="32"/>
        </w:rPr>
      </w:pPr>
      <w:r>
        <w:rPr>
          <w:rFonts w:hint="eastAsia" w:ascii="仿宋" w:hAnsi="仿宋" w:eastAsia="仿宋" w:cs="仿宋"/>
          <w:sz w:val="32"/>
          <w:szCs w:val="32"/>
        </w:rPr>
        <w:t>市政府法制办机关核定行政编制10名。设主任1名，按正县级领导干部配备；副主任1名，按副县级领导干部配备；正科级领导职数3名。下设综合科、行政复议科、行政执法监督科、法规科。2017年，机关实有人数9名，其中主任1名，副主任1名，正科级领导1名，副科级领导1名。</w:t>
      </w:r>
    </w:p>
    <w:p>
      <w:pPr>
        <w:ind w:firstLine="640" w:firstLineChars="200"/>
        <w:rPr>
          <w:rFonts w:ascii="仿宋" w:hAnsi="仿宋" w:eastAsia="仿宋" w:cs="仿宋"/>
          <w:sz w:val="32"/>
          <w:szCs w:val="32"/>
        </w:rPr>
      </w:pPr>
      <w:r>
        <w:rPr>
          <w:rFonts w:hint="eastAsia" w:ascii="仿宋" w:hAnsi="仿宋" w:eastAsia="仿宋" w:cs="仿宋"/>
          <w:sz w:val="32"/>
          <w:szCs w:val="32"/>
        </w:rPr>
        <w:t>仲裁办核定参公事业编制7名。设主任1名，按副县级领导配备；科级领导干部职数2名。下设办公室、仲裁室。2017年，实有人数6名，其中主任1名，科级领导1名。</w:t>
      </w:r>
    </w:p>
    <w:p>
      <w:pPr>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（一）部门财政资金收入情况。</w:t>
      </w:r>
    </w:p>
    <w:p>
      <w:pPr>
        <w:ind w:firstLine="640" w:firstLineChars="200"/>
        <w:outlineLvl w:val="1"/>
        <w:rPr>
          <w:rFonts w:ascii="仿宋" w:hAnsi="仿宋" w:eastAsia="仿宋"/>
          <w:color w:val="000000"/>
          <w:sz w:val="32"/>
          <w:szCs w:val="32"/>
        </w:rPr>
      </w:pPr>
      <w:r>
        <w:rPr>
          <w:rFonts w:hint="eastAsia" w:ascii="仿宋_GB2312" w:hAnsi="仿宋" w:eastAsia="仿宋_GB2312"/>
          <w:color w:val="000000"/>
          <w:sz w:val="32"/>
          <w:szCs w:val="32"/>
        </w:rPr>
        <w:t>2018年遂宁市司法局本年收入合计</w:t>
      </w:r>
      <w:r>
        <w:rPr>
          <w:rFonts w:hint="eastAsia" w:ascii="仿宋" w:hAnsi="仿宋" w:eastAsia="仿宋"/>
          <w:color w:val="000000"/>
          <w:sz w:val="32"/>
          <w:szCs w:val="32"/>
        </w:rPr>
        <w:t>536.20万元，其中：一般公共预算财政拨款收入461.50万元，占86.07</w:t>
      </w:r>
      <w:r>
        <w:rPr>
          <w:rFonts w:ascii="仿宋" w:hAnsi="仿宋" w:eastAsia="仿宋"/>
          <w:color w:val="000000"/>
          <w:sz w:val="32"/>
          <w:szCs w:val="32"/>
        </w:rPr>
        <w:t>%</w:t>
      </w:r>
      <w:r>
        <w:rPr>
          <w:rFonts w:hint="eastAsia" w:ascii="仿宋" w:hAnsi="仿宋" w:eastAsia="仿宋"/>
          <w:color w:val="000000"/>
          <w:sz w:val="32"/>
          <w:szCs w:val="32"/>
        </w:rPr>
        <w:t>；其他收入74.70万元，占13.93</w:t>
      </w:r>
      <w:r>
        <w:rPr>
          <w:rFonts w:ascii="仿宋" w:hAnsi="仿宋" w:eastAsia="仿宋"/>
          <w:color w:val="000000"/>
          <w:sz w:val="32"/>
          <w:szCs w:val="32"/>
        </w:rPr>
        <w:t>%</w:t>
      </w:r>
      <w:r>
        <w:rPr>
          <w:rFonts w:hint="eastAsia" w:ascii="仿宋" w:hAnsi="仿宋" w:eastAsia="仿宋"/>
          <w:color w:val="000000"/>
          <w:sz w:val="32"/>
          <w:szCs w:val="32"/>
        </w:rPr>
        <w:t>。</w:t>
      </w:r>
    </w:p>
    <w:p>
      <w:pPr>
        <w:pStyle w:val="12"/>
        <w:spacing w:before="0" w:beforeAutospacing="0" w:after="0" w:afterAutospacing="0" w:line="580" w:lineRule="exact"/>
        <w:ind w:firstLine="720"/>
        <w:rPr>
          <w:rFonts w:ascii="仿宋" w:hAnsi="仿宋" w:eastAsia="仿宋" w:cs="仿宋_GB2312"/>
          <w:sz w:val="32"/>
          <w:szCs w:val="32"/>
        </w:rPr>
      </w:pPr>
      <w:r>
        <w:rPr>
          <w:rFonts w:hint="eastAsia" w:ascii="仿宋" w:hAnsi="仿宋" w:eastAsia="仿宋" w:cs="仿宋_GB2312"/>
          <w:sz w:val="32"/>
          <w:szCs w:val="32"/>
        </w:rPr>
        <w:t>（二）部门财政资金支出情况。</w:t>
      </w:r>
    </w:p>
    <w:p>
      <w:pPr>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年本年支出合计529.27万元，其中：基本支出364.67万元，占68.90</w:t>
      </w:r>
      <w:r>
        <w:rPr>
          <w:rFonts w:ascii="仿宋" w:hAnsi="仿宋" w:eastAsia="仿宋"/>
          <w:color w:val="000000"/>
          <w:sz w:val="32"/>
          <w:szCs w:val="32"/>
        </w:rPr>
        <w:t>%</w:t>
      </w:r>
      <w:r>
        <w:rPr>
          <w:rFonts w:hint="eastAsia" w:ascii="仿宋" w:hAnsi="仿宋" w:eastAsia="仿宋"/>
          <w:color w:val="000000"/>
          <w:sz w:val="32"/>
          <w:szCs w:val="32"/>
        </w:rPr>
        <w:t>；项目支出164.60万元，占31.10</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三、部门整体预算绩效管理情况（根据适用指标体系进行调整）</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部门绩效目标制定明确、目标按时按质量完成、预算编制准确、支出控制严格、预算动态调整符合相关规定、执行进度合理、预算完成情况良好、无违规记录。</w:t>
      </w:r>
    </w:p>
    <w:p>
      <w:pPr>
        <w:ind w:firstLine="480" w:firstLineChars="150"/>
        <w:rPr>
          <w:rFonts w:ascii="仿宋" w:hAnsi="仿宋" w:eastAsia="仿宋" w:cs="仿宋"/>
          <w:sz w:val="32"/>
          <w:szCs w:val="32"/>
        </w:rPr>
      </w:pPr>
      <w:r>
        <w:rPr>
          <w:rFonts w:hint="eastAsia" w:ascii="仿宋" w:hAnsi="仿宋" w:eastAsia="仿宋" w:cs="仿宋"/>
          <w:sz w:val="32"/>
          <w:szCs w:val="32"/>
        </w:rPr>
        <w:t>1.预算编制报送实效。根据市级部门预算编制的通知和要求，市法制办机关2018年按时完成了基础库、项目库的报送和预算编制工作，提交了部门预算情况，符合预算编制的要求。</w:t>
      </w:r>
    </w:p>
    <w:p>
      <w:pPr>
        <w:ind w:firstLine="419" w:firstLineChars="131"/>
        <w:rPr>
          <w:rFonts w:ascii="仿宋" w:hAnsi="仿宋" w:eastAsia="仿宋" w:cs="仿宋"/>
          <w:sz w:val="32"/>
          <w:szCs w:val="32"/>
        </w:rPr>
      </w:pPr>
      <w:r>
        <w:rPr>
          <w:rFonts w:hint="eastAsia" w:ascii="仿宋" w:hAnsi="仿宋" w:eastAsia="仿宋" w:cs="仿宋"/>
          <w:sz w:val="32"/>
          <w:szCs w:val="32"/>
        </w:rPr>
        <w:t>2.编制质量。市法制办机关按照市财政局下达的预算控制数，结合近年来单位的实际支出情况及当年的工作需要，编制并按时报送了本部门2018年的财政预算。全年财政预算资金总来源未出现中期评估调整取消，以及年未预算不足的情况。人大预工委在预算审查过程中未提出修改意见。</w:t>
      </w:r>
    </w:p>
    <w:p>
      <w:pPr>
        <w:ind w:firstLine="419" w:firstLineChars="131"/>
        <w:rPr>
          <w:rFonts w:ascii="仿宋" w:hAnsi="仿宋" w:eastAsia="仿宋" w:cs="仿宋"/>
          <w:color w:val="000000"/>
          <w:sz w:val="32"/>
          <w:szCs w:val="32"/>
        </w:rPr>
      </w:pPr>
      <w:r>
        <w:rPr>
          <w:rFonts w:hint="eastAsia" w:ascii="仿宋" w:hAnsi="仿宋" w:eastAsia="仿宋" w:cs="仿宋"/>
          <w:color w:val="000000"/>
          <w:sz w:val="32"/>
          <w:szCs w:val="32"/>
        </w:rPr>
        <w:t>3.绩效目标填报。市法制办机关按照预算编制的要求，制度了年度工作计划，明确了目标任务。</w:t>
      </w:r>
    </w:p>
    <w:p>
      <w:pPr>
        <w:ind w:firstLine="480" w:firstLineChars="150"/>
        <w:rPr>
          <w:rFonts w:ascii="仿宋" w:hAnsi="仿宋" w:eastAsia="仿宋" w:cs="仿宋"/>
          <w:sz w:val="32"/>
          <w:szCs w:val="32"/>
        </w:rPr>
      </w:pPr>
      <w:r>
        <w:rPr>
          <w:rFonts w:hint="eastAsia" w:ascii="仿宋" w:hAnsi="仿宋" w:eastAsia="仿宋" w:cs="仿宋"/>
          <w:color w:val="000000"/>
          <w:sz w:val="32"/>
          <w:szCs w:val="32"/>
        </w:rPr>
        <w:t>4.市</w:t>
      </w:r>
      <w:r>
        <w:rPr>
          <w:rFonts w:hint="eastAsia" w:ascii="仿宋" w:hAnsi="仿宋" w:eastAsia="仿宋" w:cs="仿宋"/>
          <w:sz w:val="32"/>
          <w:szCs w:val="32"/>
        </w:rPr>
        <w:t>法制办机关2018年无转移支付及专项转移支付的情况。</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（二）专项预算管理。</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专项预算项目程序严密、规划合理、结果符合项目预期要求、分配科学、分配及时、专项预算绩效目标完成符合预算要求、实施绩效到位、无违规记录。</w:t>
      </w:r>
    </w:p>
    <w:p>
      <w:pPr>
        <w:pStyle w:val="12"/>
        <w:spacing w:before="0" w:beforeAutospacing="0" w:after="0" w:afterAutospacing="0" w:line="580" w:lineRule="exact"/>
        <w:ind w:firstLine="720"/>
        <w:rPr>
          <w:rFonts w:ascii="仿宋_GB2312" w:hAnsi="仿宋" w:eastAsia="仿宋_GB2312" w:cs="仿宋"/>
          <w:sz w:val="32"/>
          <w:szCs w:val="32"/>
        </w:rPr>
      </w:pPr>
      <w:r>
        <w:rPr>
          <w:rFonts w:hint="eastAsia" w:ascii="仿宋_GB2312" w:hAnsi="仿宋" w:eastAsia="仿宋_GB2312" w:cs="Times New Roman"/>
          <w:color w:val="000000"/>
          <w:sz w:val="32"/>
          <w:szCs w:val="32"/>
          <w:shd w:val="clear" w:color="auto" w:fill="FFFFFF"/>
        </w:rPr>
        <w:t>部门预算执行情况良好，市级部门专项经费到位及时，预算分配时限合理。中省转移支付资金分配合规率高。</w:t>
      </w:r>
      <w:r>
        <w:rPr>
          <w:rFonts w:hint="eastAsia" w:ascii="仿宋_GB2312" w:hAnsi="仿宋" w:eastAsia="仿宋_GB2312" w:cs="仿宋"/>
          <w:sz w:val="32"/>
          <w:szCs w:val="32"/>
        </w:rPr>
        <w:t>中期自行评估后，加大了预算执行力度，</w:t>
      </w:r>
      <w:r>
        <w:rPr>
          <w:rFonts w:hint="eastAsia" w:ascii="仿宋_GB2312" w:hAnsi="仿宋" w:eastAsia="仿宋_GB2312" w:cs="Times New Roman"/>
          <w:color w:val="000000"/>
          <w:sz w:val="32"/>
          <w:szCs w:val="32"/>
          <w:shd w:val="clear" w:color="auto" w:fill="FFFFFF"/>
        </w:rPr>
        <w:t>部门预算执行进度按照市财政要求进行，</w:t>
      </w:r>
      <w:r>
        <w:rPr>
          <w:rFonts w:hint="eastAsia" w:ascii="仿宋_GB2312" w:hAnsi="仿宋" w:eastAsia="仿宋_GB2312" w:cs="仿宋"/>
          <w:sz w:val="32"/>
          <w:szCs w:val="32"/>
        </w:rPr>
        <w:t>基本支出预算达到了均衡预算支出的目标，项目支出预算执行进度基本实现预定目标。</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（三）结果应用情况。</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部门自评质量高、绩效目标公开和自评公开、评价结果良好、应用结果反馈情况好。</w:t>
      </w:r>
    </w:p>
    <w:p>
      <w:pPr>
        <w:pStyle w:val="12"/>
        <w:spacing w:before="0" w:beforeAutospacing="0" w:after="0" w:afterAutospacing="0" w:line="580" w:lineRule="exact"/>
        <w:ind w:firstLine="720"/>
        <w:rPr>
          <w:rFonts w:ascii="仿宋_GB2312" w:hAnsi="仿宋" w:eastAsia="仿宋_GB2312"/>
          <w:color w:val="000000"/>
          <w:sz w:val="32"/>
          <w:szCs w:val="32"/>
        </w:rPr>
      </w:pPr>
      <w:r>
        <w:rPr>
          <w:rFonts w:hint="eastAsia" w:ascii="仿宋_GB2312" w:hAnsi="仿宋" w:eastAsia="仿宋_GB2312"/>
          <w:color w:val="000000"/>
          <w:sz w:val="32"/>
          <w:szCs w:val="32"/>
        </w:rPr>
        <w:t>每年的部门预决算和“三公”经费收支情况均在市政务公开网站和局门户网站进行了公开，自觉接受群众监督。</w:t>
      </w:r>
    </w:p>
    <w:p>
      <w:pPr>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pStyle w:val="12"/>
        <w:spacing w:before="0" w:beforeAutospacing="0" w:after="0" w:afterAutospacing="0" w:line="580" w:lineRule="exact"/>
        <w:ind w:firstLine="72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我局</w:t>
      </w:r>
      <w:r>
        <w:rPr>
          <w:rFonts w:hint="eastAsia" w:ascii="仿宋_GB2312" w:hAnsi="仿宋" w:eastAsia="仿宋_GB2312"/>
          <w:color w:val="000000"/>
          <w:sz w:val="32"/>
          <w:szCs w:val="32"/>
        </w:rPr>
        <w:t>本着“以收定支，量入为出，保证重点，兼顾一般”的原则，使财政预算拨款更加切合实际；我局</w:t>
      </w:r>
      <w:r>
        <w:rPr>
          <w:rFonts w:hint="eastAsia" w:ascii="仿宋_GB2312" w:hAnsi="仿宋" w:eastAsia="仿宋_GB2312" w:cs="Times New Roman"/>
          <w:color w:val="000000"/>
          <w:sz w:val="32"/>
          <w:szCs w:val="32"/>
        </w:rPr>
        <w:t>制定了资金管理、固定资产管理、财务内控制度等一系列财经制度，财务管理规范，资金监督考核严格，财务绩效明显，切实保障了资金使用合法合规，使财政资金充分</w:t>
      </w:r>
      <w:r>
        <w:rPr>
          <w:rFonts w:hint="eastAsia" w:ascii="仿宋_GB2312" w:hAnsi="仿宋" w:eastAsia="仿宋_GB2312"/>
          <w:color w:val="000000"/>
          <w:sz w:val="32"/>
          <w:szCs w:val="32"/>
        </w:rPr>
        <w:t>其在司法工作保障中的积极作用。</w:t>
      </w:r>
      <w:r>
        <w:rPr>
          <w:rFonts w:hint="eastAsia" w:ascii="仿宋_GB2312" w:eastAsia="仿宋_GB2312"/>
          <w:sz w:val="32"/>
          <w:szCs w:val="32"/>
        </w:rPr>
        <w:t>绩效监控的项目预期提供的产品、服务、效益目标明确细化，可衡量；绩效目标设定符合实际需求，合理可行；资金分配管理是否科学合理、规范有序，突出重点工作内容</w:t>
      </w:r>
      <w:r>
        <w:rPr>
          <w:rFonts w:hint="eastAsia" w:ascii="仿宋_GB2312" w:hAnsi="仿宋" w:eastAsia="仿宋_GB2312" w:cs="Times New Roman"/>
          <w:color w:val="000000"/>
          <w:sz w:val="32"/>
          <w:szCs w:val="32"/>
        </w:rPr>
        <w:t>。</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（二）存在问题。</w:t>
      </w:r>
    </w:p>
    <w:p>
      <w:pPr>
        <w:numPr>
          <w:ilvl w:val="0"/>
          <w:numId w:val="6"/>
        </w:numPr>
        <w:tabs>
          <w:tab w:val="clear" w:pos="312"/>
        </w:tabs>
        <w:ind w:left="640"/>
        <w:rPr>
          <w:rFonts w:ascii="仿宋" w:hAnsi="仿宋" w:eastAsia="仿宋" w:cs="仿宋"/>
          <w:sz w:val="32"/>
          <w:szCs w:val="32"/>
        </w:rPr>
      </w:pPr>
      <w:r>
        <w:rPr>
          <w:rFonts w:hint="eastAsia" w:ascii="仿宋" w:hAnsi="仿宋" w:eastAsia="仿宋" w:cs="仿宋"/>
          <w:sz w:val="32"/>
          <w:szCs w:val="32"/>
        </w:rPr>
        <w:t>预算编制及执行方面。</w:t>
      </w:r>
    </w:p>
    <w:p>
      <w:pPr>
        <w:ind w:firstLine="640" w:firstLineChars="200"/>
        <w:rPr>
          <w:rFonts w:ascii="仿宋" w:hAnsi="仿宋" w:eastAsia="仿宋" w:cs="仿宋"/>
          <w:sz w:val="32"/>
          <w:szCs w:val="32"/>
        </w:rPr>
      </w:pPr>
      <w:r>
        <w:rPr>
          <w:rFonts w:hint="eastAsia" w:ascii="仿宋" w:hAnsi="仿宋" w:eastAsia="仿宋" w:cs="仿宋"/>
          <w:sz w:val="32"/>
          <w:szCs w:val="32"/>
        </w:rPr>
        <w:t>（1）在执行预算开支方面，存在上半年执行较慢的情况。</w:t>
      </w:r>
    </w:p>
    <w:p>
      <w:pPr>
        <w:ind w:firstLine="640" w:firstLineChars="200"/>
        <w:rPr>
          <w:rFonts w:ascii="仿宋" w:hAnsi="仿宋" w:eastAsia="仿宋" w:cs="仿宋"/>
          <w:sz w:val="32"/>
          <w:szCs w:val="32"/>
        </w:rPr>
      </w:pPr>
      <w:r>
        <w:rPr>
          <w:rFonts w:hint="eastAsia" w:ascii="仿宋" w:hAnsi="仿宋" w:eastAsia="仿宋" w:cs="仿宋"/>
          <w:sz w:val="32"/>
          <w:szCs w:val="32"/>
        </w:rPr>
        <w:t>（2）2018年部门预算执行评估工作开展不充分。</w:t>
      </w:r>
    </w:p>
    <w:p>
      <w:pPr>
        <w:numPr>
          <w:ilvl w:val="0"/>
          <w:numId w:val="6"/>
        </w:numPr>
        <w:tabs>
          <w:tab w:val="clear" w:pos="312"/>
        </w:tabs>
        <w:ind w:left="640"/>
        <w:rPr>
          <w:rFonts w:ascii="仿宋" w:hAnsi="仿宋" w:eastAsia="仿宋" w:cs="仿宋"/>
          <w:sz w:val="32"/>
          <w:szCs w:val="32"/>
        </w:rPr>
      </w:pPr>
      <w:r>
        <w:rPr>
          <w:rFonts w:hint="eastAsia" w:ascii="仿宋" w:hAnsi="仿宋" w:eastAsia="仿宋" w:cs="仿宋"/>
          <w:sz w:val="32"/>
          <w:szCs w:val="32"/>
        </w:rPr>
        <w:t>综合管理方面</w:t>
      </w:r>
    </w:p>
    <w:p>
      <w:pPr>
        <w:numPr>
          <w:ilvl w:val="0"/>
          <w:numId w:val="7"/>
        </w:numPr>
        <w:ind w:firstLine="640" w:firstLineChars="200"/>
        <w:rPr>
          <w:rFonts w:ascii="仿宋" w:hAnsi="仿宋" w:eastAsia="仿宋" w:cs="仿宋"/>
          <w:sz w:val="32"/>
          <w:szCs w:val="32"/>
        </w:rPr>
      </w:pPr>
      <w:r>
        <w:rPr>
          <w:rFonts w:hint="eastAsia" w:ascii="仿宋" w:hAnsi="仿宋" w:eastAsia="仿宋" w:cs="仿宋"/>
          <w:sz w:val="32"/>
          <w:szCs w:val="32"/>
        </w:rPr>
        <w:t>资产信息系统实时录入工作需加强，对购置的固定资产和变更使用人的固定资产不能做到实时更新。</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（三）改进建议。</w:t>
      </w:r>
    </w:p>
    <w:p>
      <w:pPr>
        <w:spacing w:line="600" w:lineRule="atLeast"/>
        <w:ind w:firstLine="640" w:firstLineChars="200"/>
        <w:rPr>
          <w:rFonts w:ascii="仿宋" w:hAnsi="仿宋" w:eastAsia="仿宋" w:cs="仿宋"/>
          <w:b/>
          <w:sz w:val="32"/>
          <w:szCs w:val="32"/>
        </w:rPr>
      </w:pPr>
      <w:r>
        <w:rPr>
          <w:rFonts w:hint="eastAsia" w:ascii="仿宋" w:hAnsi="仿宋" w:eastAsia="仿宋" w:cs="仿宋"/>
          <w:sz w:val="32"/>
          <w:szCs w:val="32"/>
        </w:rPr>
        <w:t>1.提高预算管理水平。一是加强预算编制管理，做深做细预算编制工作；二是认真做好中期评估，动态实时把握预算执行情况，强化预算执行力度。</w:t>
      </w:r>
    </w:p>
    <w:p>
      <w:pPr>
        <w:spacing w:line="600" w:lineRule="atLeast"/>
        <w:ind w:firstLine="640" w:firstLineChars="200"/>
        <w:rPr>
          <w:rFonts w:ascii="仿宋" w:hAnsi="仿宋" w:eastAsia="仿宋" w:cs="仿宋"/>
          <w:b/>
          <w:sz w:val="32"/>
          <w:szCs w:val="32"/>
        </w:rPr>
      </w:pPr>
      <w:r>
        <w:rPr>
          <w:rFonts w:hint="eastAsia" w:ascii="仿宋" w:hAnsi="仿宋" w:eastAsia="仿宋" w:cs="仿宋"/>
          <w:sz w:val="32"/>
          <w:szCs w:val="32"/>
        </w:rPr>
        <w:t>2.规范财务会计管理。加强财务会计人员的业务培训，严格执行会计基础工作规范，及时准确反映单位经济活动，及时反映单位资产变动情况。</w:t>
      </w:r>
    </w:p>
    <w:p>
      <w:pPr>
        <w:ind w:firstLine="640" w:firstLineChars="200"/>
        <w:rPr>
          <w:rFonts w:ascii="仿宋" w:hAnsi="仿宋" w:eastAsia="仿宋" w:cs="仿宋_GB2312"/>
          <w:sz w:val="32"/>
          <w:szCs w:val="32"/>
        </w:rPr>
      </w:pPr>
    </w:p>
    <w:p>
      <w:pPr>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Style w:val="19"/>
          <w:rFonts w:ascii="仿宋" w:hAnsi="仿宋" w:eastAsia="仿宋" w:cs="仿宋_GB2312"/>
          <w:b w:val="0"/>
          <w:bCs w:val="0"/>
          <w:kern w:val="2"/>
          <w:sz w:val="32"/>
          <w:szCs w:val="32"/>
        </w:rPr>
      </w:pPr>
    </w:p>
    <w:p>
      <w:pPr>
        <w:jc w:val="center"/>
        <w:outlineLvl w:val="0"/>
        <w:rPr>
          <w:rStyle w:val="19"/>
          <w:rFonts w:ascii="黑体" w:hAnsi="黑体" w:eastAsia="黑体"/>
          <w:b w:val="0"/>
        </w:rPr>
      </w:pPr>
      <w:bookmarkStart w:id="57" w:name="_Toc15396618"/>
      <w:r>
        <w:rPr>
          <w:rFonts w:hint="eastAsia" w:ascii="黑体" w:hAnsi="黑体" w:eastAsia="黑体"/>
          <w:color w:val="000000"/>
          <w:sz w:val="44"/>
          <w:szCs w:val="44"/>
        </w:rPr>
        <w:t>第</w:t>
      </w:r>
      <w:r>
        <w:rPr>
          <w:rStyle w:val="19"/>
          <w:rFonts w:hint="eastAsia" w:ascii="黑体" w:hAnsi="黑体" w:eastAsia="黑体"/>
          <w:b w:val="0"/>
        </w:rPr>
        <w:t>五部分</w:t>
      </w:r>
      <w:r>
        <w:rPr>
          <w:rStyle w:val="19"/>
          <w:rFonts w:ascii="黑体" w:hAnsi="黑体" w:eastAsia="黑体"/>
          <w:b w:val="0"/>
        </w:rPr>
        <w:t xml:space="preserve"> </w:t>
      </w:r>
      <w:r>
        <w:rPr>
          <w:rStyle w:val="19"/>
          <w:rFonts w:hint="eastAsia" w:ascii="黑体" w:hAnsi="黑体" w:eastAsia="黑体"/>
          <w:b w:val="0"/>
        </w:rPr>
        <w:t>附表</w:t>
      </w:r>
      <w:bookmarkEnd w:id="53"/>
      <w:bookmarkEnd w:id="57"/>
    </w:p>
    <w:p>
      <w:pPr>
        <w:jc w:val="center"/>
        <w:outlineLvl w:val="0"/>
        <w:rPr>
          <w:rFonts w:ascii="仿宋" w:hAnsi="仿宋" w:eastAsia="仿宋"/>
          <w:b/>
          <w:color w:val="000000"/>
          <w:sz w:val="44"/>
          <w:szCs w:val="44"/>
        </w:rPr>
      </w:pPr>
    </w:p>
    <w:p>
      <w:pPr>
        <w:pStyle w:val="3"/>
        <w:spacing w:line="240" w:lineRule="auto"/>
        <w:rPr>
          <w:rFonts w:ascii="仿宋" w:hAnsi="仿宋" w:eastAsia="仿宋"/>
          <w:color w:val="000000"/>
        </w:rPr>
      </w:pPr>
      <w:bookmarkStart w:id="58" w:name="_Toc15396619"/>
      <w:r>
        <w:rPr>
          <w:rFonts w:hint="eastAsia" w:ascii="仿宋" w:hAnsi="仿宋" w:eastAsia="仿宋"/>
          <w:b w:val="0"/>
          <w:color w:val="000000"/>
        </w:rPr>
        <w:t>一、收</w:t>
      </w:r>
      <w:r>
        <w:rPr>
          <w:rStyle w:val="20"/>
          <w:rFonts w:hint="eastAsia" w:ascii="仿宋" w:hAnsi="仿宋" w:eastAsia="仿宋"/>
          <w:b w:val="0"/>
          <w:bCs w:val="0"/>
        </w:rPr>
        <w:t>入支出决算总表</w:t>
      </w:r>
      <w:bookmarkEnd w:id="58"/>
    </w:p>
    <w:p>
      <w:pPr>
        <w:pStyle w:val="3"/>
        <w:spacing w:line="240" w:lineRule="auto"/>
        <w:rPr>
          <w:rFonts w:ascii="仿宋" w:hAnsi="仿宋" w:eastAsia="仿宋"/>
          <w:color w:val="000000"/>
        </w:rPr>
      </w:pPr>
      <w:bookmarkStart w:id="59" w:name="_Toc15396620"/>
      <w:r>
        <w:rPr>
          <w:rFonts w:hint="eastAsia" w:ascii="仿宋" w:hAnsi="仿宋" w:eastAsia="仿宋"/>
          <w:b w:val="0"/>
          <w:color w:val="000000"/>
        </w:rPr>
        <w:t>二、收</w:t>
      </w:r>
      <w:r>
        <w:rPr>
          <w:rStyle w:val="20"/>
          <w:rFonts w:hint="eastAsia" w:ascii="仿宋" w:hAnsi="仿宋" w:eastAsia="仿宋"/>
          <w:b w:val="0"/>
          <w:bCs w:val="0"/>
        </w:rPr>
        <w:t>入总表</w:t>
      </w:r>
      <w:bookmarkEnd w:id="59"/>
    </w:p>
    <w:p>
      <w:pPr>
        <w:pStyle w:val="3"/>
        <w:spacing w:line="240" w:lineRule="auto"/>
        <w:rPr>
          <w:rFonts w:ascii="仿宋" w:hAnsi="仿宋" w:eastAsia="仿宋"/>
          <w:color w:val="000000"/>
        </w:rPr>
      </w:pPr>
      <w:bookmarkStart w:id="60" w:name="_Toc15396621"/>
      <w:r>
        <w:rPr>
          <w:rStyle w:val="20"/>
          <w:rFonts w:hint="eastAsia" w:ascii="仿宋" w:hAnsi="仿宋" w:eastAsia="仿宋"/>
          <w:b w:val="0"/>
          <w:bCs w:val="0"/>
        </w:rPr>
        <w:t>三、</w:t>
      </w:r>
      <w:r>
        <w:rPr>
          <w:rFonts w:hint="eastAsia" w:ascii="仿宋" w:hAnsi="仿宋" w:eastAsia="仿宋"/>
          <w:b w:val="0"/>
          <w:color w:val="000000"/>
        </w:rPr>
        <w:t>支</w:t>
      </w:r>
      <w:r>
        <w:rPr>
          <w:rStyle w:val="20"/>
          <w:rFonts w:hint="eastAsia" w:ascii="仿宋" w:hAnsi="仿宋" w:eastAsia="仿宋"/>
          <w:b w:val="0"/>
          <w:bCs w:val="0"/>
        </w:rPr>
        <w:t>出总表</w:t>
      </w:r>
      <w:bookmarkEnd w:id="60"/>
    </w:p>
    <w:p>
      <w:pPr>
        <w:pStyle w:val="3"/>
        <w:spacing w:line="240" w:lineRule="auto"/>
        <w:rPr>
          <w:rFonts w:ascii="仿宋" w:hAnsi="仿宋" w:eastAsia="仿宋"/>
          <w:b w:val="0"/>
          <w:color w:val="000000"/>
        </w:rPr>
      </w:pPr>
      <w:bookmarkStart w:id="61" w:name="_Toc15396622"/>
      <w:r>
        <w:rPr>
          <w:rStyle w:val="20"/>
          <w:rFonts w:hint="eastAsia" w:ascii="仿宋" w:hAnsi="仿宋" w:eastAsia="仿宋"/>
          <w:b w:val="0"/>
          <w:bCs w:val="0"/>
        </w:rPr>
        <w:t>四、</w:t>
      </w:r>
      <w:r>
        <w:rPr>
          <w:rFonts w:hint="eastAsia" w:ascii="仿宋" w:hAnsi="仿宋" w:eastAsia="仿宋"/>
          <w:b w:val="0"/>
          <w:color w:val="000000"/>
        </w:rPr>
        <w:t>财</w:t>
      </w:r>
      <w:r>
        <w:rPr>
          <w:rStyle w:val="20"/>
          <w:rFonts w:hint="eastAsia" w:ascii="仿宋" w:hAnsi="仿宋" w:eastAsia="仿宋"/>
          <w:b w:val="0"/>
          <w:bCs w:val="0"/>
        </w:rPr>
        <w:t>政拨款收入支出决算总表</w:t>
      </w:r>
      <w:bookmarkEnd w:id="61"/>
    </w:p>
    <w:p>
      <w:pPr>
        <w:pStyle w:val="3"/>
        <w:spacing w:line="240" w:lineRule="auto"/>
        <w:rPr>
          <w:rFonts w:ascii="仿宋" w:hAnsi="仿宋" w:eastAsia="仿宋"/>
          <w:color w:val="000000"/>
        </w:rPr>
      </w:pPr>
      <w:bookmarkStart w:id="62" w:name="_Toc15396623"/>
      <w:r>
        <w:rPr>
          <w:rStyle w:val="20"/>
          <w:rFonts w:hint="eastAsia" w:ascii="仿宋" w:hAnsi="仿宋" w:eastAsia="仿宋"/>
          <w:b w:val="0"/>
          <w:bCs w:val="0"/>
        </w:rPr>
        <w:t>五、</w:t>
      </w:r>
      <w:r>
        <w:rPr>
          <w:rFonts w:hint="eastAsia" w:ascii="仿宋" w:hAnsi="仿宋" w:eastAsia="仿宋"/>
          <w:b w:val="0"/>
          <w:color w:val="000000"/>
        </w:rPr>
        <w:t>财</w:t>
      </w:r>
      <w:r>
        <w:rPr>
          <w:rStyle w:val="20"/>
          <w:rFonts w:hint="eastAsia" w:ascii="仿宋" w:hAnsi="仿宋" w:eastAsia="仿宋"/>
          <w:b w:val="0"/>
          <w:bCs w:val="0"/>
        </w:rPr>
        <w:t>政拨款支出决算明细表（政府经济分类科目）</w:t>
      </w:r>
      <w:bookmarkEnd w:id="62"/>
    </w:p>
    <w:p>
      <w:pPr>
        <w:pStyle w:val="3"/>
        <w:spacing w:line="240" w:lineRule="auto"/>
        <w:rPr>
          <w:rFonts w:ascii="仿宋" w:hAnsi="仿宋" w:eastAsia="仿宋"/>
          <w:color w:val="000000"/>
        </w:rPr>
      </w:pPr>
      <w:bookmarkStart w:id="63" w:name="_Toc15396624"/>
      <w:r>
        <w:rPr>
          <w:rStyle w:val="20"/>
          <w:rFonts w:hint="eastAsia" w:ascii="仿宋" w:hAnsi="仿宋" w:eastAsia="仿宋"/>
          <w:b w:val="0"/>
          <w:bCs w:val="0"/>
        </w:rPr>
        <w:t>六、</w:t>
      </w:r>
      <w:r>
        <w:rPr>
          <w:rFonts w:hint="eastAsia" w:ascii="仿宋" w:hAnsi="仿宋" w:eastAsia="仿宋"/>
          <w:b w:val="0"/>
          <w:color w:val="000000"/>
        </w:rPr>
        <w:t>一</w:t>
      </w:r>
      <w:r>
        <w:rPr>
          <w:rStyle w:val="20"/>
          <w:rFonts w:hint="eastAsia" w:ascii="仿宋" w:hAnsi="仿宋" w:eastAsia="仿宋"/>
          <w:b w:val="0"/>
          <w:bCs w:val="0"/>
        </w:rPr>
        <w:t>般公共预算财政拨款支出决算表</w:t>
      </w:r>
      <w:bookmarkEnd w:id="63"/>
    </w:p>
    <w:p>
      <w:pPr>
        <w:pStyle w:val="3"/>
        <w:spacing w:line="240" w:lineRule="auto"/>
        <w:rPr>
          <w:rFonts w:ascii="仿宋" w:hAnsi="仿宋" w:eastAsia="仿宋"/>
          <w:color w:val="000000"/>
        </w:rPr>
      </w:pPr>
      <w:bookmarkStart w:id="64" w:name="_Toc15396625"/>
      <w:r>
        <w:rPr>
          <w:rStyle w:val="20"/>
          <w:rFonts w:hint="eastAsia" w:ascii="仿宋" w:hAnsi="仿宋" w:eastAsia="仿宋"/>
          <w:b w:val="0"/>
          <w:bCs w:val="0"/>
        </w:rPr>
        <w:t>七、</w:t>
      </w:r>
      <w:r>
        <w:rPr>
          <w:rFonts w:hint="eastAsia" w:ascii="仿宋" w:hAnsi="仿宋" w:eastAsia="仿宋"/>
          <w:b w:val="0"/>
          <w:color w:val="000000"/>
        </w:rPr>
        <w:t>一</w:t>
      </w:r>
      <w:r>
        <w:rPr>
          <w:rStyle w:val="20"/>
          <w:rFonts w:hint="eastAsia" w:ascii="仿宋" w:hAnsi="仿宋" w:eastAsia="仿宋"/>
          <w:b w:val="0"/>
          <w:bCs w:val="0"/>
        </w:rPr>
        <w:t>般公共预算财政拨款支出决算明细表</w:t>
      </w:r>
      <w:bookmarkEnd w:id="64"/>
    </w:p>
    <w:p>
      <w:pPr>
        <w:pStyle w:val="3"/>
        <w:spacing w:line="240" w:lineRule="auto"/>
        <w:rPr>
          <w:rFonts w:ascii="仿宋" w:hAnsi="仿宋" w:eastAsia="仿宋"/>
          <w:color w:val="000000"/>
        </w:rPr>
      </w:pPr>
      <w:bookmarkStart w:id="65" w:name="_Toc15396626"/>
      <w:r>
        <w:rPr>
          <w:rStyle w:val="20"/>
          <w:rFonts w:hint="eastAsia" w:ascii="仿宋" w:hAnsi="仿宋" w:eastAsia="仿宋"/>
          <w:b w:val="0"/>
          <w:bCs w:val="0"/>
        </w:rPr>
        <w:t>八、</w:t>
      </w:r>
      <w:r>
        <w:rPr>
          <w:rFonts w:hint="eastAsia" w:ascii="仿宋" w:hAnsi="仿宋" w:eastAsia="仿宋"/>
          <w:b w:val="0"/>
          <w:color w:val="000000"/>
        </w:rPr>
        <w:t>一</w:t>
      </w:r>
      <w:r>
        <w:rPr>
          <w:rStyle w:val="20"/>
          <w:rFonts w:hint="eastAsia" w:ascii="仿宋" w:hAnsi="仿宋" w:eastAsia="仿宋"/>
          <w:b w:val="0"/>
          <w:bCs w:val="0"/>
        </w:rPr>
        <w:t>般公共预算财政拨款基本支出决算表</w:t>
      </w:r>
      <w:bookmarkEnd w:id="65"/>
    </w:p>
    <w:p>
      <w:pPr>
        <w:pStyle w:val="3"/>
        <w:spacing w:line="240" w:lineRule="auto"/>
        <w:rPr>
          <w:rFonts w:ascii="仿宋" w:hAnsi="仿宋" w:eastAsia="仿宋"/>
          <w:color w:val="000000"/>
        </w:rPr>
      </w:pPr>
      <w:bookmarkStart w:id="66" w:name="_Toc15396627"/>
      <w:r>
        <w:rPr>
          <w:rStyle w:val="20"/>
          <w:rFonts w:hint="eastAsia" w:ascii="仿宋" w:hAnsi="仿宋" w:eastAsia="仿宋"/>
          <w:b w:val="0"/>
          <w:bCs w:val="0"/>
        </w:rPr>
        <w:t>九、</w:t>
      </w:r>
      <w:r>
        <w:rPr>
          <w:rFonts w:hint="eastAsia" w:ascii="仿宋" w:hAnsi="仿宋" w:eastAsia="仿宋"/>
          <w:b w:val="0"/>
          <w:color w:val="000000"/>
        </w:rPr>
        <w:t>一</w:t>
      </w:r>
      <w:r>
        <w:rPr>
          <w:rStyle w:val="20"/>
          <w:rFonts w:hint="eastAsia" w:ascii="仿宋" w:hAnsi="仿宋" w:eastAsia="仿宋"/>
          <w:b w:val="0"/>
          <w:bCs w:val="0"/>
        </w:rPr>
        <w:t>般公共预算财政拨款项目支出决算表</w:t>
      </w:r>
      <w:bookmarkEnd w:id="66"/>
    </w:p>
    <w:p>
      <w:pPr>
        <w:pStyle w:val="3"/>
        <w:spacing w:line="240" w:lineRule="auto"/>
        <w:rPr>
          <w:rFonts w:ascii="仿宋" w:hAnsi="仿宋" w:eastAsia="仿宋"/>
          <w:color w:val="000000"/>
        </w:rPr>
      </w:pPr>
      <w:bookmarkStart w:id="67" w:name="_Toc15396628"/>
      <w:r>
        <w:rPr>
          <w:rStyle w:val="20"/>
          <w:rFonts w:hint="eastAsia" w:ascii="仿宋" w:hAnsi="仿宋" w:eastAsia="仿宋"/>
          <w:b w:val="0"/>
          <w:bCs w:val="0"/>
        </w:rPr>
        <w:t>十、</w:t>
      </w:r>
      <w:r>
        <w:rPr>
          <w:rFonts w:hint="eastAsia" w:ascii="仿宋" w:hAnsi="仿宋" w:eastAsia="仿宋"/>
          <w:b w:val="0"/>
          <w:color w:val="000000"/>
        </w:rPr>
        <w:t>一</w:t>
      </w:r>
      <w:r>
        <w:rPr>
          <w:rStyle w:val="20"/>
          <w:rFonts w:hint="eastAsia" w:ascii="仿宋" w:hAnsi="仿宋" w:eastAsia="仿宋"/>
          <w:b w:val="0"/>
          <w:bCs w:val="0"/>
        </w:rPr>
        <w:t>般公共预算财政拨款“三公”经费支出决算表</w:t>
      </w:r>
      <w:bookmarkEnd w:id="67"/>
    </w:p>
    <w:p>
      <w:pPr>
        <w:pStyle w:val="3"/>
        <w:spacing w:line="240" w:lineRule="auto"/>
        <w:rPr>
          <w:rFonts w:ascii="仿宋" w:hAnsi="仿宋" w:eastAsia="仿宋"/>
          <w:color w:val="000000"/>
        </w:rPr>
      </w:pPr>
      <w:bookmarkStart w:id="68" w:name="_Toc15396629"/>
      <w:r>
        <w:rPr>
          <w:rStyle w:val="20"/>
          <w:rFonts w:hint="eastAsia" w:ascii="仿宋" w:hAnsi="仿宋" w:eastAsia="仿宋"/>
          <w:b w:val="0"/>
          <w:bCs w:val="0"/>
        </w:rPr>
        <w:t>十一、</w:t>
      </w:r>
      <w:r>
        <w:rPr>
          <w:rFonts w:hint="eastAsia" w:ascii="仿宋" w:hAnsi="仿宋" w:eastAsia="仿宋"/>
          <w:b w:val="0"/>
          <w:color w:val="000000"/>
        </w:rPr>
        <w:t>政</w:t>
      </w:r>
      <w:r>
        <w:rPr>
          <w:rStyle w:val="20"/>
          <w:rFonts w:hint="eastAsia" w:ascii="仿宋" w:hAnsi="仿宋" w:eastAsia="仿宋"/>
          <w:b w:val="0"/>
          <w:bCs w:val="0"/>
        </w:rPr>
        <w:t>府性基金预算财政拨款收入支出决算表</w:t>
      </w:r>
      <w:bookmarkEnd w:id="68"/>
    </w:p>
    <w:p>
      <w:pPr>
        <w:pStyle w:val="3"/>
        <w:spacing w:line="240" w:lineRule="auto"/>
        <w:rPr>
          <w:rFonts w:ascii="仿宋" w:hAnsi="仿宋" w:eastAsia="仿宋"/>
          <w:color w:val="000000"/>
        </w:rPr>
      </w:pPr>
      <w:bookmarkStart w:id="69" w:name="_Toc15396630"/>
      <w:r>
        <w:rPr>
          <w:rStyle w:val="20"/>
          <w:rFonts w:hint="eastAsia" w:ascii="仿宋" w:hAnsi="仿宋" w:eastAsia="仿宋"/>
          <w:b w:val="0"/>
          <w:bCs w:val="0"/>
        </w:rPr>
        <w:t>十二、</w:t>
      </w:r>
      <w:r>
        <w:rPr>
          <w:rFonts w:hint="eastAsia" w:ascii="仿宋" w:hAnsi="仿宋" w:eastAsia="仿宋"/>
          <w:b w:val="0"/>
          <w:color w:val="000000"/>
        </w:rPr>
        <w:t>政</w:t>
      </w:r>
      <w:r>
        <w:rPr>
          <w:rStyle w:val="20"/>
          <w:rFonts w:hint="eastAsia" w:ascii="仿宋" w:hAnsi="仿宋" w:eastAsia="仿宋"/>
          <w:b w:val="0"/>
          <w:bCs w:val="0"/>
        </w:rPr>
        <w:t>府性基金预算财政拨款“三公”经费支出决算表</w:t>
      </w:r>
      <w:bookmarkEnd w:id="69"/>
    </w:p>
    <w:p>
      <w:pPr>
        <w:pStyle w:val="3"/>
        <w:spacing w:line="240" w:lineRule="auto"/>
        <w:rPr>
          <w:rFonts w:ascii="仿宋" w:hAnsi="仿宋" w:eastAsia="仿宋"/>
          <w:color w:val="000000"/>
        </w:rPr>
      </w:pPr>
      <w:bookmarkStart w:id="70" w:name="_Toc15396631"/>
      <w:r>
        <w:rPr>
          <w:rStyle w:val="20"/>
          <w:rFonts w:hint="eastAsia" w:ascii="仿宋" w:hAnsi="仿宋" w:eastAsia="仿宋"/>
          <w:b w:val="0"/>
          <w:bCs w:val="0"/>
        </w:rPr>
        <w:t>十三、</w:t>
      </w:r>
      <w:r>
        <w:rPr>
          <w:rFonts w:hint="eastAsia" w:ascii="仿宋" w:hAnsi="仿宋" w:eastAsia="仿宋"/>
          <w:b w:val="0"/>
          <w:color w:val="000000"/>
        </w:rPr>
        <w:t>国</w:t>
      </w:r>
      <w:r>
        <w:rPr>
          <w:rStyle w:val="20"/>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15</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9FF0C"/>
    <w:multiLevelType w:val="singleLevel"/>
    <w:tmpl w:val="C499FF0C"/>
    <w:lvl w:ilvl="0" w:tentative="0">
      <w:start w:val="1"/>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F12A105B"/>
    <w:multiLevelType w:val="singleLevel"/>
    <w:tmpl w:val="F12A105B"/>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5"/>
  </w:num>
  <w:num w:numId="2">
    <w:abstractNumId w:val="1"/>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5Y2NkNTAxNzliZDQwMmM3Y2EyYmExMTJlZGNjM2YifQ=="/>
  </w:docVars>
  <w:rsids>
    <w:rsidRoot w:val="00F1361C"/>
    <w:rsid w:val="00020083"/>
    <w:rsid w:val="000222C6"/>
    <w:rsid w:val="00022341"/>
    <w:rsid w:val="0002549F"/>
    <w:rsid w:val="00057AD3"/>
    <w:rsid w:val="00061A1B"/>
    <w:rsid w:val="0006487A"/>
    <w:rsid w:val="00065269"/>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01727"/>
    <w:rsid w:val="00111FBF"/>
    <w:rsid w:val="00114E9B"/>
    <w:rsid w:val="001368B4"/>
    <w:rsid w:val="0014729F"/>
    <w:rsid w:val="00157BAB"/>
    <w:rsid w:val="0016092F"/>
    <w:rsid w:val="001618D4"/>
    <w:rsid w:val="001654D1"/>
    <w:rsid w:val="0018106D"/>
    <w:rsid w:val="001877A7"/>
    <w:rsid w:val="00191536"/>
    <w:rsid w:val="00195552"/>
    <w:rsid w:val="00196687"/>
    <w:rsid w:val="001A2011"/>
    <w:rsid w:val="001C0962"/>
    <w:rsid w:val="001C6060"/>
    <w:rsid w:val="001D0370"/>
    <w:rsid w:val="001D7531"/>
    <w:rsid w:val="001E737D"/>
    <w:rsid w:val="001F0592"/>
    <w:rsid w:val="001F3245"/>
    <w:rsid w:val="001F7506"/>
    <w:rsid w:val="002006CD"/>
    <w:rsid w:val="00202B36"/>
    <w:rsid w:val="00204B7A"/>
    <w:rsid w:val="0021101A"/>
    <w:rsid w:val="0021255B"/>
    <w:rsid w:val="00220536"/>
    <w:rsid w:val="00224979"/>
    <w:rsid w:val="00235629"/>
    <w:rsid w:val="00253184"/>
    <w:rsid w:val="00260C38"/>
    <w:rsid w:val="002616C0"/>
    <w:rsid w:val="002662AA"/>
    <w:rsid w:val="0027250D"/>
    <w:rsid w:val="00280496"/>
    <w:rsid w:val="002846C2"/>
    <w:rsid w:val="00295495"/>
    <w:rsid w:val="002B2613"/>
    <w:rsid w:val="002B7D16"/>
    <w:rsid w:val="002D29F8"/>
    <w:rsid w:val="002F1818"/>
    <w:rsid w:val="002F3344"/>
    <w:rsid w:val="002F378E"/>
    <w:rsid w:val="002F567B"/>
    <w:rsid w:val="00303B06"/>
    <w:rsid w:val="00310F80"/>
    <w:rsid w:val="0031734B"/>
    <w:rsid w:val="003216A9"/>
    <w:rsid w:val="00325572"/>
    <w:rsid w:val="0034502F"/>
    <w:rsid w:val="0034540D"/>
    <w:rsid w:val="00350DAC"/>
    <w:rsid w:val="0037013F"/>
    <w:rsid w:val="00380C92"/>
    <w:rsid w:val="003A058C"/>
    <w:rsid w:val="003A484F"/>
    <w:rsid w:val="003B0BE0"/>
    <w:rsid w:val="003B0C1B"/>
    <w:rsid w:val="003B688C"/>
    <w:rsid w:val="003C0291"/>
    <w:rsid w:val="003C39AE"/>
    <w:rsid w:val="003C7B60"/>
    <w:rsid w:val="003D1FB2"/>
    <w:rsid w:val="003D66DA"/>
    <w:rsid w:val="003E1310"/>
    <w:rsid w:val="003E6F55"/>
    <w:rsid w:val="003F6320"/>
    <w:rsid w:val="00402B82"/>
    <w:rsid w:val="00406254"/>
    <w:rsid w:val="004223DE"/>
    <w:rsid w:val="00434489"/>
    <w:rsid w:val="00437085"/>
    <w:rsid w:val="00443880"/>
    <w:rsid w:val="004464F4"/>
    <w:rsid w:val="00471401"/>
    <w:rsid w:val="004724E9"/>
    <w:rsid w:val="00473F31"/>
    <w:rsid w:val="0048263A"/>
    <w:rsid w:val="00487E5D"/>
    <w:rsid w:val="00492DBD"/>
    <w:rsid w:val="004A1368"/>
    <w:rsid w:val="004A711F"/>
    <w:rsid w:val="004B199D"/>
    <w:rsid w:val="004B3B45"/>
    <w:rsid w:val="004B4690"/>
    <w:rsid w:val="004B4BDD"/>
    <w:rsid w:val="004E0A2D"/>
    <w:rsid w:val="004E206B"/>
    <w:rsid w:val="004E6DF7"/>
    <w:rsid w:val="004F0FBD"/>
    <w:rsid w:val="004F2F8D"/>
    <w:rsid w:val="004F6C21"/>
    <w:rsid w:val="00505A47"/>
    <w:rsid w:val="00512FDA"/>
    <w:rsid w:val="00515D34"/>
    <w:rsid w:val="00520DA0"/>
    <w:rsid w:val="005664BB"/>
    <w:rsid w:val="0057481D"/>
    <w:rsid w:val="0058486E"/>
    <w:rsid w:val="00596EF8"/>
    <w:rsid w:val="005A30A5"/>
    <w:rsid w:val="005A3B7D"/>
    <w:rsid w:val="005B02C9"/>
    <w:rsid w:val="005D1C8B"/>
    <w:rsid w:val="005D5CED"/>
    <w:rsid w:val="005F1A4C"/>
    <w:rsid w:val="005F555B"/>
    <w:rsid w:val="00600089"/>
    <w:rsid w:val="00605688"/>
    <w:rsid w:val="006070AF"/>
    <w:rsid w:val="00607E6C"/>
    <w:rsid w:val="006101B1"/>
    <w:rsid w:val="00614E44"/>
    <w:rsid w:val="00622830"/>
    <w:rsid w:val="00626348"/>
    <w:rsid w:val="00630AEF"/>
    <w:rsid w:val="006325F8"/>
    <w:rsid w:val="00633CF7"/>
    <w:rsid w:val="0063458E"/>
    <w:rsid w:val="00634C9A"/>
    <w:rsid w:val="006440E4"/>
    <w:rsid w:val="0066343B"/>
    <w:rsid w:val="00664777"/>
    <w:rsid w:val="006748A4"/>
    <w:rsid w:val="00683E73"/>
    <w:rsid w:val="006A033D"/>
    <w:rsid w:val="006A3141"/>
    <w:rsid w:val="006A5E34"/>
    <w:rsid w:val="006B0BD6"/>
    <w:rsid w:val="006B2422"/>
    <w:rsid w:val="006B2B9A"/>
    <w:rsid w:val="006C1937"/>
    <w:rsid w:val="006D3F06"/>
    <w:rsid w:val="006F020C"/>
    <w:rsid w:val="007127B7"/>
    <w:rsid w:val="00730804"/>
    <w:rsid w:val="007416B6"/>
    <w:rsid w:val="00746F48"/>
    <w:rsid w:val="0075404D"/>
    <w:rsid w:val="0076182A"/>
    <w:rsid w:val="00766042"/>
    <w:rsid w:val="00767B7E"/>
    <w:rsid w:val="007770C3"/>
    <w:rsid w:val="00784D24"/>
    <w:rsid w:val="00785FBA"/>
    <w:rsid w:val="00786E4A"/>
    <w:rsid w:val="007875EB"/>
    <w:rsid w:val="0079426B"/>
    <w:rsid w:val="007B085F"/>
    <w:rsid w:val="007D312A"/>
    <w:rsid w:val="007D3F19"/>
    <w:rsid w:val="007E23B0"/>
    <w:rsid w:val="007F1991"/>
    <w:rsid w:val="007F2C2F"/>
    <w:rsid w:val="007F55FC"/>
    <w:rsid w:val="007F5665"/>
    <w:rsid w:val="00800112"/>
    <w:rsid w:val="00820F1D"/>
    <w:rsid w:val="008253BB"/>
    <w:rsid w:val="0083146C"/>
    <w:rsid w:val="0083706E"/>
    <w:rsid w:val="008410A4"/>
    <w:rsid w:val="008423A5"/>
    <w:rsid w:val="00850625"/>
    <w:rsid w:val="00852B9E"/>
    <w:rsid w:val="00853718"/>
    <w:rsid w:val="00855221"/>
    <w:rsid w:val="00860645"/>
    <w:rsid w:val="00871F71"/>
    <w:rsid w:val="00885AF4"/>
    <w:rsid w:val="008939CD"/>
    <w:rsid w:val="008B768C"/>
    <w:rsid w:val="008C2A70"/>
    <w:rsid w:val="008C4DB1"/>
    <w:rsid w:val="008C4EAF"/>
    <w:rsid w:val="008C5176"/>
    <w:rsid w:val="008C7FD0"/>
    <w:rsid w:val="008E1DE7"/>
    <w:rsid w:val="008E707C"/>
    <w:rsid w:val="008F1690"/>
    <w:rsid w:val="00900B08"/>
    <w:rsid w:val="00902155"/>
    <w:rsid w:val="00902FA3"/>
    <w:rsid w:val="00923564"/>
    <w:rsid w:val="0092392E"/>
    <w:rsid w:val="009315F9"/>
    <w:rsid w:val="00946945"/>
    <w:rsid w:val="00951248"/>
    <w:rsid w:val="0095152F"/>
    <w:rsid w:val="00954C49"/>
    <w:rsid w:val="0097099F"/>
    <w:rsid w:val="00971997"/>
    <w:rsid w:val="00971FFC"/>
    <w:rsid w:val="00982421"/>
    <w:rsid w:val="0098660A"/>
    <w:rsid w:val="009931C3"/>
    <w:rsid w:val="0099792E"/>
    <w:rsid w:val="009B2C43"/>
    <w:rsid w:val="009B4EAE"/>
    <w:rsid w:val="009B7573"/>
    <w:rsid w:val="009C22F4"/>
    <w:rsid w:val="009C2E98"/>
    <w:rsid w:val="009D3447"/>
    <w:rsid w:val="009D3E28"/>
    <w:rsid w:val="009D4711"/>
    <w:rsid w:val="009D6DC3"/>
    <w:rsid w:val="009F1185"/>
    <w:rsid w:val="009F18CD"/>
    <w:rsid w:val="009F2A13"/>
    <w:rsid w:val="00A04EB0"/>
    <w:rsid w:val="00A13CC1"/>
    <w:rsid w:val="00A16847"/>
    <w:rsid w:val="00A237D8"/>
    <w:rsid w:val="00A268C4"/>
    <w:rsid w:val="00A30012"/>
    <w:rsid w:val="00A307CD"/>
    <w:rsid w:val="00A40A00"/>
    <w:rsid w:val="00A4142F"/>
    <w:rsid w:val="00A56DF2"/>
    <w:rsid w:val="00A64F2F"/>
    <w:rsid w:val="00A67142"/>
    <w:rsid w:val="00A67AB5"/>
    <w:rsid w:val="00A91760"/>
    <w:rsid w:val="00A93B00"/>
    <w:rsid w:val="00A93C21"/>
    <w:rsid w:val="00AC3C6A"/>
    <w:rsid w:val="00AD5620"/>
    <w:rsid w:val="00AD7C1B"/>
    <w:rsid w:val="00AE0031"/>
    <w:rsid w:val="00AE16BA"/>
    <w:rsid w:val="00AE1EBE"/>
    <w:rsid w:val="00AF2BB4"/>
    <w:rsid w:val="00B03C9D"/>
    <w:rsid w:val="00B057DE"/>
    <w:rsid w:val="00B060AE"/>
    <w:rsid w:val="00B10517"/>
    <w:rsid w:val="00B11939"/>
    <w:rsid w:val="00B14E76"/>
    <w:rsid w:val="00B161B8"/>
    <w:rsid w:val="00B2048C"/>
    <w:rsid w:val="00B310B9"/>
    <w:rsid w:val="00B35F3F"/>
    <w:rsid w:val="00B36CBB"/>
    <w:rsid w:val="00B425E0"/>
    <w:rsid w:val="00B440AA"/>
    <w:rsid w:val="00B44B70"/>
    <w:rsid w:val="00B51E9A"/>
    <w:rsid w:val="00B53C56"/>
    <w:rsid w:val="00B75694"/>
    <w:rsid w:val="00B77EA6"/>
    <w:rsid w:val="00B81598"/>
    <w:rsid w:val="00B841F1"/>
    <w:rsid w:val="00B84A3B"/>
    <w:rsid w:val="00B93159"/>
    <w:rsid w:val="00B944D6"/>
    <w:rsid w:val="00BB4DF0"/>
    <w:rsid w:val="00BC289F"/>
    <w:rsid w:val="00BC39D6"/>
    <w:rsid w:val="00BC5361"/>
    <w:rsid w:val="00BC5460"/>
    <w:rsid w:val="00BC6B50"/>
    <w:rsid w:val="00BD0E25"/>
    <w:rsid w:val="00BF5BD6"/>
    <w:rsid w:val="00C03E31"/>
    <w:rsid w:val="00C33E72"/>
    <w:rsid w:val="00C354B2"/>
    <w:rsid w:val="00C35554"/>
    <w:rsid w:val="00C40AAC"/>
    <w:rsid w:val="00C42709"/>
    <w:rsid w:val="00C533CC"/>
    <w:rsid w:val="00C5546E"/>
    <w:rsid w:val="00C5751C"/>
    <w:rsid w:val="00C61BFC"/>
    <w:rsid w:val="00C62B85"/>
    <w:rsid w:val="00C65438"/>
    <w:rsid w:val="00C65DD1"/>
    <w:rsid w:val="00C72984"/>
    <w:rsid w:val="00C74286"/>
    <w:rsid w:val="00C91CBB"/>
    <w:rsid w:val="00CA3CC8"/>
    <w:rsid w:val="00CA6118"/>
    <w:rsid w:val="00CB5C80"/>
    <w:rsid w:val="00CC09B6"/>
    <w:rsid w:val="00CC666F"/>
    <w:rsid w:val="00CD1E3F"/>
    <w:rsid w:val="00CD4497"/>
    <w:rsid w:val="00CE440A"/>
    <w:rsid w:val="00CE44F6"/>
    <w:rsid w:val="00CE49DA"/>
    <w:rsid w:val="00CE7B61"/>
    <w:rsid w:val="00D00095"/>
    <w:rsid w:val="00D20620"/>
    <w:rsid w:val="00D26091"/>
    <w:rsid w:val="00D34E7C"/>
    <w:rsid w:val="00D35489"/>
    <w:rsid w:val="00D41077"/>
    <w:rsid w:val="00D51276"/>
    <w:rsid w:val="00D67C8A"/>
    <w:rsid w:val="00D7035F"/>
    <w:rsid w:val="00D81726"/>
    <w:rsid w:val="00D956A6"/>
    <w:rsid w:val="00DA1245"/>
    <w:rsid w:val="00DA65AC"/>
    <w:rsid w:val="00DB0F51"/>
    <w:rsid w:val="00DB1913"/>
    <w:rsid w:val="00DB60E4"/>
    <w:rsid w:val="00DC17DA"/>
    <w:rsid w:val="00DC410D"/>
    <w:rsid w:val="00DC68CA"/>
    <w:rsid w:val="00DC7CBA"/>
    <w:rsid w:val="00DD73B7"/>
    <w:rsid w:val="00DE0959"/>
    <w:rsid w:val="00DF28BC"/>
    <w:rsid w:val="00DF34B9"/>
    <w:rsid w:val="00E01053"/>
    <w:rsid w:val="00E07ACF"/>
    <w:rsid w:val="00E231CE"/>
    <w:rsid w:val="00E276FD"/>
    <w:rsid w:val="00E331A1"/>
    <w:rsid w:val="00E33202"/>
    <w:rsid w:val="00E336A9"/>
    <w:rsid w:val="00E50624"/>
    <w:rsid w:val="00E568DF"/>
    <w:rsid w:val="00E64269"/>
    <w:rsid w:val="00E67009"/>
    <w:rsid w:val="00E82267"/>
    <w:rsid w:val="00E8612D"/>
    <w:rsid w:val="00EA010F"/>
    <w:rsid w:val="00EA352F"/>
    <w:rsid w:val="00ED1B63"/>
    <w:rsid w:val="00ED3C1F"/>
    <w:rsid w:val="00ED4085"/>
    <w:rsid w:val="00ED420E"/>
    <w:rsid w:val="00EE2F57"/>
    <w:rsid w:val="00EF4C34"/>
    <w:rsid w:val="00EF77C6"/>
    <w:rsid w:val="00F05438"/>
    <w:rsid w:val="00F130DF"/>
    <w:rsid w:val="00F1361C"/>
    <w:rsid w:val="00F160C7"/>
    <w:rsid w:val="00F36D8F"/>
    <w:rsid w:val="00F417B1"/>
    <w:rsid w:val="00F55754"/>
    <w:rsid w:val="00F602DF"/>
    <w:rsid w:val="00F81FD9"/>
    <w:rsid w:val="00F841AA"/>
    <w:rsid w:val="00F859DE"/>
    <w:rsid w:val="00FA1364"/>
    <w:rsid w:val="00FA23E8"/>
    <w:rsid w:val="00FB357F"/>
    <w:rsid w:val="00FD13FC"/>
    <w:rsid w:val="00FD3CC1"/>
    <w:rsid w:val="00FF1E02"/>
    <w:rsid w:val="00FF30B4"/>
    <w:rsid w:val="0A3A28AE"/>
    <w:rsid w:val="10C055FF"/>
    <w:rsid w:val="1102722C"/>
    <w:rsid w:val="137F578F"/>
    <w:rsid w:val="16BB723D"/>
    <w:rsid w:val="1A6E23B6"/>
    <w:rsid w:val="240371BF"/>
    <w:rsid w:val="29FD04D3"/>
    <w:rsid w:val="319F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uiPriority w:val="99"/>
    <w:pPr>
      <w:spacing w:beforeLines="30"/>
    </w:pPr>
    <w:rPr>
      <w:rFonts w:ascii="仿宋_GB2312" w:eastAsia="仿宋_GB2312"/>
      <w:kern w:val="0"/>
      <w:sz w:val="24"/>
      <w:szCs w:val="20"/>
    </w:rPr>
  </w:style>
  <w:style w:type="paragraph" w:styleId="6">
    <w:name w:val="toc 3"/>
    <w:basedOn w:val="1"/>
    <w:next w:val="1"/>
    <w:uiPriority w:val="99"/>
    <w:pPr>
      <w:tabs>
        <w:tab w:val="right" w:leader="dot" w:pos="8296"/>
      </w:tabs>
      <w:ind w:left="840" w:leftChars="400"/>
    </w:pPr>
  </w:style>
  <w:style w:type="paragraph" w:styleId="7">
    <w:name w:val="Balloon Text"/>
    <w:basedOn w:val="1"/>
    <w:link w:val="31"/>
    <w:semiHidden/>
    <w:uiPriority w:val="99"/>
    <w:rPr>
      <w:sz w:val="18"/>
      <w:szCs w:val="18"/>
    </w:rPr>
  </w:style>
  <w:style w:type="paragraph" w:styleId="8">
    <w:name w:val="footer"/>
    <w:basedOn w:val="1"/>
    <w:link w:val="26"/>
    <w:uiPriority w:val="0"/>
    <w:pPr>
      <w:tabs>
        <w:tab w:val="center" w:pos="4153"/>
        <w:tab w:val="right" w:pos="8306"/>
      </w:tabs>
      <w:snapToGrid w:val="0"/>
      <w:jc w:val="left"/>
    </w:pPr>
    <w:rPr>
      <w:rFonts w:ascii="Calibri" w:hAnsi="Calibri"/>
      <w:kern w:val="0"/>
      <w:sz w:val="18"/>
      <w:szCs w:val="20"/>
    </w:rPr>
  </w:style>
  <w:style w:type="paragraph" w:styleId="9">
    <w:name w:val="header"/>
    <w:basedOn w:val="1"/>
    <w:link w:val="25"/>
    <w:semiHidden/>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iPriority w:val="99"/>
    <w:pPr>
      <w:tabs>
        <w:tab w:val="right" w:leader="dot" w:pos="8296"/>
      </w:tabs>
      <w:ind w:left="420" w:leftChars="200"/>
    </w:pPr>
    <w:rPr>
      <w:rFonts w:ascii="仿宋" w:hAnsi="仿宋" w:eastAsia="仿宋"/>
      <w:sz w:val="28"/>
      <w:szCs w:val="28"/>
    </w:rPr>
  </w:style>
  <w:style w:type="paragraph" w:styleId="12">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4">
    <w:name w:val="Table Grid"/>
    <w:basedOn w:val="13"/>
    <w:locked/>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rFonts w:cs="Times New Roman"/>
      <w:b/>
    </w:rPr>
  </w:style>
  <w:style w:type="character" w:styleId="17">
    <w:name w:val="page number"/>
    <w:basedOn w:val="15"/>
    <w:uiPriority w:val="0"/>
  </w:style>
  <w:style w:type="character" w:styleId="18">
    <w:name w:val="Hyperlink"/>
    <w:basedOn w:val="15"/>
    <w:uiPriority w:val="99"/>
    <w:rPr>
      <w:rFonts w:cs="Times New Roman"/>
      <w:color w:val="0000FF"/>
      <w:u w:val="single"/>
    </w:rPr>
  </w:style>
  <w:style w:type="character" w:customStyle="1" w:styleId="19">
    <w:name w:val="标题 1 Char"/>
    <w:basedOn w:val="15"/>
    <w:link w:val="2"/>
    <w:locked/>
    <w:uiPriority w:val="99"/>
    <w:rPr>
      <w:rFonts w:ascii="Times New Roman" w:hAnsi="Times New Roman" w:cs="Times New Roman"/>
      <w:b/>
      <w:bCs/>
      <w:kern w:val="44"/>
      <w:sz w:val="44"/>
      <w:szCs w:val="44"/>
    </w:rPr>
  </w:style>
  <w:style w:type="character" w:customStyle="1" w:styleId="20">
    <w:name w:val="标题 2 Char"/>
    <w:basedOn w:val="15"/>
    <w:link w:val="3"/>
    <w:locked/>
    <w:uiPriority w:val="99"/>
    <w:rPr>
      <w:rFonts w:ascii="Cambria" w:hAnsi="Cambria" w:eastAsia="宋体" w:cs="Times New Roman"/>
      <w:b/>
      <w:bCs/>
      <w:kern w:val="2"/>
      <w:sz w:val="32"/>
      <w:szCs w:val="32"/>
    </w:rPr>
  </w:style>
  <w:style w:type="character" w:customStyle="1" w:styleId="21">
    <w:name w:val="标题 3 Char"/>
    <w:basedOn w:val="15"/>
    <w:link w:val="4"/>
    <w:locked/>
    <w:uiPriority w:val="99"/>
    <w:rPr>
      <w:rFonts w:ascii="Times New Roman" w:hAnsi="Times New Roman" w:cs="Times New Roman"/>
      <w:b/>
      <w:bCs/>
      <w:kern w:val="2"/>
      <w:sz w:val="32"/>
      <w:szCs w:val="32"/>
    </w:rPr>
  </w:style>
  <w:style w:type="character" w:customStyle="1" w:styleId="22">
    <w:name w:val="Body Text Char"/>
    <w:basedOn w:val="15"/>
    <w:link w:val="5"/>
    <w:semiHidden/>
    <w:locked/>
    <w:uiPriority w:val="99"/>
    <w:rPr>
      <w:rFonts w:ascii="Times New Roman" w:hAnsi="Times New Roman" w:cs="Times New Roman"/>
      <w:sz w:val="24"/>
      <w:szCs w:val="24"/>
    </w:rPr>
  </w:style>
  <w:style w:type="character" w:customStyle="1" w:styleId="23">
    <w:name w:val="Footer Char"/>
    <w:basedOn w:val="15"/>
    <w:link w:val="8"/>
    <w:semiHidden/>
    <w:locked/>
    <w:uiPriority w:val="99"/>
    <w:rPr>
      <w:rFonts w:ascii="Times New Roman" w:hAnsi="Times New Roman" w:cs="Times New Roman"/>
      <w:sz w:val="18"/>
      <w:szCs w:val="18"/>
    </w:rPr>
  </w:style>
  <w:style w:type="character" w:customStyle="1" w:styleId="24">
    <w:name w:val="Header Char"/>
    <w:basedOn w:val="15"/>
    <w:link w:val="9"/>
    <w:semiHidden/>
    <w:locked/>
    <w:uiPriority w:val="99"/>
    <w:rPr>
      <w:rFonts w:ascii="Times New Roman" w:hAnsi="Times New Roman" w:cs="Times New Roman"/>
      <w:sz w:val="18"/>
      <w:szCs w:val="18"/>
    </w:rPr>
  </w:style>
  <w:style w:type="character" w:customStyle="1" w:styleId="25">
    <w:name w:val="页眉 Char"/>
    <w:link w:val="9"/>
    <w:semiHidden/>
    <w:locked/>
    <w:uiPriority w:val="99"/>
    <w:rPr>
      <w:sz w:val="18"/>
    </w:rPr>
  </w:style>
  <w:style w:type="character" w:customStyle="1" w:styleId="26">
    <w:name w:val="页脚 Char"/>
    <w:link w:val="8"/>
    <w:locked/>
    <w:uiPriority w:val="99"/>
    <w:rPr>
      <w:sz w:val="18"/>
    </w:rPr>
  </w:style>
  <w:style w:type="character" w:customStyle="1" w:styleId="27">
    <w:name w:val="正文文本 Char"/>
    <w:link w:val="5"/>
    <w:locked/>
    <w:uiPriority w:val="99"/>
    <w:rPr>
      <w:rFonts w:ascii="仿宋_GB2312" w:hAnsi="Times New Roman" w:eastAsia="仿宋_GB2312"/>
      <w:sz w:val="24"/>
    </w:rPr>
  </w:style>
  <w:style w:type="paragraph" w:customStyle="1" w:styleId="28">
    <w:name w:val="Defaul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1">
    <w:name w:val="批注框文本 Char"/>
    <w:basedOn w:val="15"/>
    <w:link w:val="7"/>
    <w:semiHidden/>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收支决算总计（万元）</c:v>
                </c:pt>
              </c:strCache>
            </c:strRef>
          </c:tx>
          <c:invertIfNegative val="0"/>
          <c:dLbls>
            <c:delete val="1"/>
          </c:dLbls>
          <c:cat>
            <c:numRef>
              <c:f>Sheet1!$A$2:$A$3</c:f>
              <c:numCache>
                <c:formatCode>General</c:formatCode>
                <c:ptCount val="2"/>
                <c:pt idx="0">
                  <c:v>2017</c:v>
                </c:pt>
                <c:pt idx="1">
                  <c:v>2018</c:v>
                </c:pt>
              </c:numCache>
            </c:numRef>
          </c:cat>
          <c:val>
            <c:numRef>
              <c:f>Sheet1!$B$2:$B$3</c:f>
              <c:numCache>
                <c:formatCode>General</c:formatCode>
                <c:ptCount val="2"/>
                <c:pt idx="0">
                  <c:v>377.26</c:v>
                </c:pt>
                <c:pt idx="1">
                  <c:v>542.64</c:v>
                </c:pt>
              </c:numCache>
            </c:numRef>
          </c:val>
        </c:ser>
        <c:dLbls>
          <c:showLegendKey val="0"/>
          <c:showVal val="0"/>
          <c:showCatName val="0"/>
          <c:showSerName val="0"/>
          <c:showPercent val="0"/>
          <c:showBubbleSize val="0"/>
        </c:dLbls>
        <c:gapWidth val="150"/>
        <c:axId val="107209472"/>
        <c:axId val="107211008"/>
      </c:barChart>
      <c:catAx>
        <c:axId val="10720947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7211008"/>
        <c:crosses val="autoZero"/>
        <c:auto val="1"/>
        <c:lblAlgn val="ctr"/>
        <c:lblOffset val="100"/>
        <c:noMultiLvlLbl val="0"/>
      </c:catAx>
      <c:valAx>
        <c:axId val="1072110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72094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本年收入（万元）</c:v>
                </c:pt>
              </c:strCache>
            </c:strRef>
          </c:tx>
          <c:explosion val="0"/>
          <c:dPt>
            <c:idx val="0"/>
            <c:bubble3D val="0"/>
          </c:dPt>
          <c:dPt>
            <c:idx val="1"/>
            <c:bubble3D val="0"/>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461.5</c:v>
                </c:pt>
                <c:pt idx="1">
                  <c:v>74.7</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本年支出（万元）</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364.67</c:v>
                </c:pt>
                <c:pt idx="1">
                  <c:v>164.6</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财政拨款收支总计（万元）</c:v>
                </c:pt>
              </c:strCache>
            </c:strRef>
          </c:tx>
          <c:invertIfNegative val="0"/>
          <c:dLbls>
            <c:delete val="1"/>
          </c:dLbls>
          <c:cat>
            <c:strRef>
              <c:f>Sheet1!$A$2:$A$3</c:f>
              <c:strCache>
                <c:ptCount val="2"/>
                <c:pt idx="0">
                  <c:v>2017年</c:v>
                </c:pt>
                <c:pt idx="1">
                  <c:v>2018年</c:v>
                </c:pt>
              </c:strCache>
            </c:strRef>
          </c:cat>
          <c:val>
            <c:numRef>
              <c:f>Sheet1!$B$2:$B$3</c:f>
              <c:numCache>
                <c:formatCode>General</c:formatCode>
                <c:ptCount val="2"/>
                <c:pt idx="0">
                  <c:v>371.95</c:v>
                </c:pt>
                <c:pt idx="1">
                  <c:v>467.94</c:v>
                </c:pt>
              </c:numCache>
            </c:numRef>
          </c:val>
        </c:ser>
        <c:dLbls>
          <c:showLegendKey val="0"/>
          <c:showVal val="0"/>
          <c:showCatName val="0"/>
          <c:showSerName val="0"/>
          <c:showPercent val="0"/>
          <c:showBubbleSize val="0"/>
        </c:dLbls>
        <c:gapWidth val="150"/>
        <c:axId val="107734528"/>
        <c:axId val="107736064"/>
      </c:barChart>
      <c:catAx>
        <c:axId val="1077345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7736064"/>
        <c:crosses val="autoZero"/>
        <c:auto val="1"/>
        <c:lblAlgn val="ctr"/>
        <c:lblOffset val="100"/>
        <c:noMultiLvlLbl val="0"/>
      </c:catAx>
      <c:valAx>
        <c:axId val="1077360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77345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c:v>
                </c:pt>
              </c:strCache>
            </c:strRef>
          </c:tx>
          <c:invertIfNegative val="0"/>
          <c:dLbls>
            <c:delete val="1"/>
          </c:dLbls>
          <c:cat>
            <c:numRef>
              <c:f>Sheet1!$A$2:$A$3</c:f>
              <c:numCache>
                <c:formatCode>General</c:formatCode>
                <c:ptCount val="2"/>
                <c:pt idx="0">
                  <c:v>2018</c:v>
                </c:pt>
                <c:pt idx="1">
                  <c:v>2017</c:v>
                </c:pt>
              </c:numCache>
            </c:numRef>
          </c:cat>
          <c:val>
            <c:numRef>
              <c:f>Sheet1!$B$2:$B$3</c:f>
              <c:numCache>
                <c:formatCode>General</c:formatCode>
                <c:ptCount val="2"/>
                <c:pt idx="0">
                  <c:v>365.52</c:v>
                </c:pt>
                <c:pt idx="1">
                  <c:v>365.5</c:v>
                </c:pt>
              </c:numCache>
            </c:numRef>
          </c:val>
        </c:ser>
        <c:dLbls>
          <c:showLegendKey val="0"/>
          <c:showVal val="0"/>
          <c:showCatName val="0"/>
          <c:showSerName val="0"/>
          <c:showPercent val="0"/>
          <c:showBubbleSize val="0"/>
        </c:dLbls>
        <c:gapWidth val="150"/>
        <c:axId val="107170432"/>
        <c:axId val="107233664"/>
      </c:barChart>
      <c:catAx>
        <c:axId val="10717043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7233664"/>
        <c:crosses val="autoZero"/>
        <c:auto val="1"/>
        <c:lblAlgn val="ctr"/>
        <c:lblOffset val="100"/>
        <c:noMultiLvlLbl val="0"/>
      </c:catAx>
      <c:valAx>
        <c:axId val="1072336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71704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一般公共财政拨款支出（万元）</c:v>
                </c:pt>
              </c:strCache>
            </c:strRef>
          </c:tx>
          <c:explosion val="0"/>
          <c:dPt>
            <c:idx val="0"/>
            <c:bubble3D val="0"/>
          </c:dPt>
          <c:dPt>
            <c:idx val="1"/>
            <c:bubble3D val="0"/>
          </c:dPt>
          <c:dPt>
            <c:idx val="2"/>
            <c:bubble3D val="0"/>
          </c:dPt>
          <c:dPt>
            <c:idx val="3"/>
            <c:bubble3D val="0"/>
          </c:dPt>
          <c:dLbls>
            <c:delete val="1"/>
          </c:dLbls>
          <c:cat>
            <c:strRef>
              <c:f>Sheet1!$A$2:$A$5</c:f>
              <c:strCache>
                <c:ptCount val="4"/>
                <c:pt idx="0">
                  <c:v>一般公共服务类支出</c:v>
                </c:pt>
                <c:pt idx="1">
                  <c:v>社会保障和就业类支出</c:v>
                </c:pt>
                <c:pt idx="2">
                  <c:v>公共安全</c:v>
                </c:pt>
                <c:pt idx="3">
                  <c:v>医疗卫生与计划生育支出</c:v>
                </c:pt>
              </c:strCache>
            </c:strRef>
          </c:cat>
          <c:val>
            <c:numRef>
              <c:f>Sheet1!$B$2:$B$5</c:f>
              <c:numCache>
                <c:formatCode>General</c:formatCode>
                <c:ptCount val="4"/>
                <c:pt idx="0">
                  <c:v>336.27</c:v>
                </c:pt>
                <c:pt idx="1">
                  <c:v>20.64</c:v>
                </c:pt>
                <c:pt idx="2">
                  <c:v>70.37</c:v>
                </c:pt>
                <c:pt idx="3">
                  <c:v>8.66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“三公”经费（万元）</c:v>
                </c:pt>
              </c:strCache>
            </c:strRef>
          </c:tx>
          <c:explosion val="0"/>
          <c:dPt>
            <c:idx val="0"/>
            <c:bubble3D val="0"/>
          </c:dPt>
          <c:dPt>
            <c:idx val="1"/>
            <c:bubble3D val="0"/>
          </c:dPt>
          <c:dPt>
            <c:idx val="2"/>
            <c:bubble3D val="0"/>
          </c:dPt>
          <c:dLbls>
            <c:delete val="1"/>
          </c:dLbls>
          <c:cat>
            <c:strRef>
              <c:f>Sheet1!$A$2:$A$4</c:f>
              <c:strCache>
                <c:ptCount val="3"/>
                <c:pt idx="0">
                  <c:v>公务用车购置及运行维护费</c:v>
                </c:pt>
                <c:pt idx="1">
                  <c:v>公务接待费</c:v>
                </c:pt>
                <c:pt idx="2">
                  <c:v>因公出国费</c:v>
                </c:pt>
              </c:strCache>
            </c:strRef>
          </c:cat>
          <c:val>
            <c:numRef>
              <c:f>Sheet1!$B$2:$B$4</c:f>
              <c:numCache>
                <c:formatCode>General</c:formatCode>
                <c:ptCount val="3"/>
                <c:pt idx="0">
                  <c:v>3.51</c:v>
                </c:pt>
                <c:pt idx="1">
                  <c:v>0.54</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C70F9D-86ED-4FBC-997C-D0AAEB33378D}">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11823</Words>
  <Characters>12496</Characters>
  <Lines>104</Lines>
  <Paragraphs>29</Paragraphs>
  <TotalTime>9930</TotalTime>
  <ScaleCrop>false</ScaleCrop>
  <LinksUpToDate>false</LinksUpToDate>
  <CharactersWithSpaces>12565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2019-09-10T08:22:00Z</dcterms:created>
  <dc:creator>张彬茜</dc:creator>
  <cp:lastModifiedBy>市司法局办公室</cp:lastModifiedBy>
  <cp:lastPrinted>2019-08-01T00:48:00Z</cp:lastPrinted>
  <dcterms:modified xsi:type="dcterms:W3CDTF">2023-07-17T02:09:22Z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52698C3346C84C3C8297B848112D72FE_12</vt:lpwstr>
  </property>
</Properties>
</file>