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ascii="方正小标宋简体" w:hAnsi="宋体" w:eastAsia="方正小标宋简体"/>
          <w:color w:val="000000"/>
          <w:sz w:val="72"/>
          <w:szCs w:val="72"/>
        </w:rPr>
      </w:pPr>
      <w:bookmarkStart w:id="0" w:name="_Toc15306267"/>
    </w:p>
    <w:p>
      <w:pPr>
        <w:jc w:val="center"/>
        <w:outlineLvl w:val="0"/>
        <w:rPr>
          <w:rFonts w:ascii="方正小标宋简体" w:hAnsi="宋体" w:eastAsia="方正小标宋简体"/>
          <w:color w:val="000000"/>
          <w:sz w:val="72"/>
          <w:szCs w:val="72"/>
        </w:rPr>
      </w:pPr>
    </w:p>
    <w:p>
      <w:pPr>
        <w:jc w:val="center"/>
        <w:outlineLvl w:val="0"/>
        <w:rPr>
          <w:rFonts w:ascii="方正小标宋简体" w:hAnsi="宋体" w:eastAsia="方正小标宋简体"/>
          <w:color w:val="000000"/>
          <w:sz w:val="72"/>
          <w:szCs w:val="72"/>
        </w:rPr>
      </w:pPr>
    </w:p>
    <w:p>
      <w:pPr>
        <w:jc w:val="center"/>
        <w:outlineLvl w:val="0"/>
        <w:rPr>
          <w:rFonts w:ascii="方正小标宋简体" w:hAnsi="宋体" w:eastAsia="方正小标宋简体"/>
          <w:color w:val="000000"/>
          <w:sz w:val="72"/>
          <w:szCs w:val="72"/>
        </w:rPr>
      </w:pPr>
    </w:p>
    <w:p>
      <w:pPr>
        <w:adjustRightInd w:val="0"/>
        <w:snapToGrid w:val="0"/>
        <w:jc w:val="center"/>
        <w:outlineLvl w:val="0"/>
        <w:rPr>
          <w:rFonts w:ascii="方正小标宋简体" w:hAnsi="宋体" w:eastAsia="方正小标宋简体"/>
          <w:color w:val="000000"/>
          <w:sz w:val="72"/>
          <w:szCs w:val="72"/>
        </w:rPr>
      </w:pPr>
      <w:bookmarkStart w:id="1" w:name="_Toc15377193"/>
      <w:bookmarkStart w:id="2" w:name="_Toc15396475"/>
      <w:bookmarkStart w:id="3" w:name="_Toc15378441"/>
      <w:bookmarkStart w:id="4" w:name="_Toc15377425"/>
      <w:bookmarkStart w:id="5" w:name="_Toc15396597"/>
      <w:r>
        <w:rPr>
          <w:rFonts w:ascii="黑体" w:hAnsi="黑体" w:eastAsia="黑体"/>
          <w:color w:val="000000"/>
          <w:sz w:val="72"/>
          <w:szCs w:val="72"/>
        </w:rPr>
        <w:t>2018</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jc w:val="center"/>
        <w:outlineLvl w:val="0"/>
        <w:rPr>
          <w:rFonts w:ascii="方正小标宋简体" w:hAnsi="宋体" w:eastAsia="方正小标宋简体"/>
          <w:color w:val="000000"/>
          <w:sz w:val="72"/>
          <w:szCs w:val="72"/>
        </w:rPr>
      </w:pPr>
      <w:bookmarkStart w:id="6" w:name="_Toc15377426"/>
      <w:bookmarkStart w:id="7" w:name="_Toc15396476"/>
      <w:bookmarkStart w:id="8" w:name="_Toc15377194"/>
      <w:bookmarkStart w:id="9" w:name="_Toc15378442"/>
      <w:bookmarkStart w:id="10" w:name="_Toc15396598"/>
      <w:r>
        <w:rPr>
          <w:rFonts w:hint="eastAsia" w:ascii="方正小标宋简体" w:hAnsi="宋体" w:eastAsia="方正小标宋简体"/>
          <w:color w:val="000000"/>
          <w:sz w:val="72"/>
          <w:szCs w:val="72"/>
        </w:rPr>
        <w:t>遂宁市</w:t>
      </w:r>
      <w:bookmarkEnd w:id="0"/>
      <w:bookmarkStart w:id="11" w:name="_Toc15306268"/>
      <w:r>
        <w:rPr>
          <w:rFonts w:hint="eastAsia" w:ascii="方正小标宋简体" w:hAnsi="宋体" w:eastAsia="方正小标宋简体"/>
          <w:color w:val="000000"/>
          <w:sz w:val="72"/>
          <w:szCs w:val="72"/>
        </w:rPr>
        <w:t>司法局部门决算</w:t>
      </w:r>
      <w:bookmarkEnd w:id="6"/>
      <w:bookmarkEnd w:id="7"/>
      <w:bookmarkEnd w:id="8"/>
      <w:bookmarkEnd w:id="9"/>
      <w:bookmarkEnd w:id="10"/>
      <w:bookmarkEnd w:id="11"/>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pPr>
        <w:pStyle w:val="10"/>
      </w:pPr>
      <w:r>
        <w:rPr>
          <w:rFonts w:hint="eastAsia"/>
        </w:rPr>
        <w:t>公开时间：</w:t>
      </w:r>
      <w:r>
        <w:t>2019</w:t>
      </w:r>
      <w:r>
        <w:rPr>
          <w:rFonts w:hint="eastAsia"/>
        </w:rPr>
        <w:t>年</w:t>
      </w:r>
      <w:r>
        <w:t>9</w:t>
      </w:r>
      <w:r>
        <w:rPr>
          <w:rFonts w:hint="eastAsia"/>
        </w:rPr>
        <w:t>月</w:t>
      </w:r>
      <w:r>
        <w:t>17</w:t>
      </w:r>
      <w:r>
        <w:rPr>
          <w:rFonts w:hint="eastAsia"/>
        </w:rPr>
        <w:t>日</w:t>
      </w:r>
    </w:p>
    <w:p/>
    <w:p>
      <w:pPr>
        <w:pStyle w:val="10"/>
      </w:pPr>
      <w:r>
        <w:fldChar w:fldCharType="begin"/>
      </w:r>
      <w:r>
        <w:instrText xml:space="preserve"> HYPERLINK \l "_Toc15396599" </w:instrText>
      </w:r>
      <w:r>
        <w:fldChar w:fldCharType="separate"/>
      </w:r>
      <w:r>
        <w:rPr>
          <w:rStyle w:val="18"/>
          <w:rFonts w:hint="eastAsia"/>
        </w:rPr>
        <w:t>第一部分部门概况</w:t>
      </w:r>
      <w:r>
        <w:tab/>
      </w:r>
      <w:r>
        <w:t>4</w:t>
      </w:r>
      <w:r>
        <w:fldChar w:fldCharType="end"/>
      </w:r>
    </w:p>
    <w:p>
      <w:pPr>
        <w:pStyle w:val="11"/>
        <w:ind w:left="412"/>
      </w:pPr>
      <w:r>
        <w:fldChar w:fldCharType="begin"/>
      </w:r>
      <w:r>
        <w:instrText xml:space="preserve"> HYPERLINK \l "_Toc15396600" </w:instrText>
      </w:r>
      <w:r>
        <w:fldChar w:fldCharType="separate"/>
      </w:r>
      <w:r>
        <w:rPr>
          <w:rStyle w:val="18"/>
          <w:rFonts w:hint="eastAsia"/>
        </w:rPr>
        <w:t>一、基本职能及主要工作</w:t>
      </w:r>
      <w:r>
        <w:tab/>
      </w:r>
      <w:r>
        <w:t>4</w:t>
      </w:r>
      <w:r>
        <w:fldChar w:fldCharType="end"/>
      </w:r>
    </w:p>
    <w:p>
      <w:pPr>
        <w:pStyle w:val="11"/>
        <w:ind w:left="412"/>
      </w:pPr>
      <w:r>
        <w:fldChar w:fldCharType="begin"/>
      </w:r>
      <w:r>
        <w:instrText xml:space="preserve"> HYPERLINK \l "_Toc15396601" </w:instrText>
      </w:r>
      <w:r>
        <w:fldChar w:fldCharType="separate"/>
      </w:r>
      <w:r>
        <w:rPr>
          <w:rStyle w:val="18"/>
          <w:rFonts w:hint="eastAsia"/>
        </w:rPr>
        <w:t>二、机构设置</w:t>
      </w:r>
      <w:r>
        <w:tab/>
      </w:r>
      <w:r>
        <w:fldChar w:fldCharType="begin"/>
      </w:r>
      <w:r>
        <w:instrText xml:space="preserve"> PAGEREF _Toc15396601 \h </w:instrText>
      </w:r>
      <w:r>
        <w:fldChar w:fldCharType="separate"/>
      </w:r>
      <w:r>
        <w:t>4</w:t>
      </w:r>
      <w:r>
        <w:fldChar w:fldCharType="end"/>
      </w:r>
      <w:r>
        <w:fldChar w:fldCharType="end"/>
      </w:r>
    </w:p>
    <w:p>
      <w:pPr>
        <w:pStyle w:val="10"/>
      </w:pPr>
      <w:r>
        <w:fldChar w:fldCharType="begin"/>
      </w:r>
      <w:r>
        <w:instrText xml:space="preserve"> HYPERLINK \l "_Toc15396602" </w:instrText>
      </w:r>
      <w:r>
        <w:fldChar w:fldCharType="separate"/>
      </w:r>
      <w:r>
        <w:rPr>
          <w:rStyle w:val="18"/>
          <w:rFonts w:hint="eastAsia"/>
        </w:rPr>
        <w:t>第二部分</w:t>
      </w:r>
      <w:r>
        <w:rPr>
          <w:rStyle w:val="18"/>
        </w:rPr>
        <w:t xml:space="preserve"> 2018</w:t>
      </w:r>
      <w:r>
        <w:rPr>
          <w:rStyle w:val="18"/>
          <w:rFonts w:hint="eastAsia"/>
        </w:rPr>
        <w:t>年度部门决算情况说明</w:t>
      </w:r>
      <w:r>
        <w:tab/>
      </w:r>
      <w:r>
        <w:fldChar w:fldCharType="begin"/>
      </w:r>
      <w:r>
        <w:instrText xml:space="preserve"> PAGEREF _Toc15396602 \h </w:instrText>
      </w:r>
      <w:r>
        <w:fldChar w:fldCharType="separate"/>
      </w:r>
      <w:r>
        <w:t>5</w:t>
      </w:r>
      <w:r>
        <w:fldChar w:fldCharType="end"/>
      </w:r>
      <w:r>
        <w:fldChar w:fldCharType="end"/>
      </w:r>
    </w:p>
    <w:p>
      <w:pPr>
        <w:pStyle w:val="11"/>
        <w:ind w:left="412"/>
      </w:pPr>
      <w:r>
        <w:fldChar w:fldCharType="begin"/>
      </w:r>
      <w:r>
        <w:instrText xml:space="preserve"> HYPERLINK \l "_Toc15396603" </w:instrText>
      </w:r>
      <w:r>
        <w:fldChar w:fldCharType="separate"/>
      </w:r>
      <w:r>
        <w:rPr>
          <w:rStyle w:val="18"/>
          <w:rFonts w:hint="eastAsia"/>
          <w:bCs/>
        </w:rPr>
        <w:t>一、</w:t>
      </w:r>
      <w:r>
        <w:rPr>
          <w:rStyle w:val="18"/>
          <w:rFonts w:hint="eastAsia"/>
        </w:rPr>
        <w:t>收</w:t>
      </w:r>
      <w:r>
        <w:rPr>
          <w:rStyle w:val="18"/>
          <w:rFonts w:hint="eastAsia"/>
          <w:bCs/>
        </w:rPr>
        <w:t>入支出决算总体情况说明</w:t>
      </w:r>
      <w:r>
        <w:tab/>
      </w:r>
      <w:r>
        <w:fldChar w:fldCharType="begin"/>
      </w:r>
      <w:r>
        <w:instrText xml:space="preserve"> PAGEREF _Toc15396603 \h </w:instrText>
      </w:r>
      <w:r>
        <w:fldChar w:fldCharType="separate"/>
      </w:r>
      <w:r>
        <w:t>5</w:t>
      </w:r>
      <w:r>
        <w:fldChar w:fldCharType="end"/>
      </w:r>
      <w:r>
        <w:fldChar w:fldCharType="end"/>
      </w:r>
    </w:p>
    <w:p>
      <w:pPr>
        <w:pStyle w:val="11"/>
        <w:ind w:left="412"/>
      </w:pPr>
      <w:r>
        <w:fldChar w:fldCharType="begin"/>
      </w:r>
      <w:r>
        <w:instrText xml:space="preserve"> HYPERLINK \l "_Toc15396604" </w:instrText>
      </w:r>
      <w:r>
        <w:fldChar w:fldCharType="separate"/>
      </w:r>
      <w:r>
        <w:rPr>
          <w:rStyle w:val="18"/>
          <w:rFonts w:hint="eastAsia"/>
          <w:bCs/>
        </w:rPr>
        <w:t>二、</w:t>
      </w:r>
      <w:r>
        <w:rPr>
          <w:rStyle w:val="18"/>
          <w:rFonts w:hint="eastAsia"/>
        </w:rPr>
        <w:t>收</w:t>
      </w:r>
      <w:r>
        <w:rPr>
          <w:rStyle w:val="18"/>
          <w:rFonts w:hint="eastAsia"/>
          <w:bCs/>
        </w:rPr>
        <w:t>入决算情况说明</w:t>
      </w:r>
      <w:r>
        <w:tab/>
      </w:r>
      <w:r>
        <w:fldChar w:fldCharType="begin"/>
      </w:r>
      <w:r>
        <w:instrText xml:space="preserve"> PAGEREF _Toc15396604 \h </w:instrText>
      </w:r>
      <w:r>
        <w:fldChar w:fldCharType="separate"/>
      </w:r>
      <w:r>
        <w:t>5</w:t>
      </w:r>
      <w:r>
        <w:fldChar w:fldCharType="end"/>
      </w:r>
      <w:r>
        <w:fldChar w:fldCharType="end"/>
      </w:r>
    </w:p>
    <w:p>
      <w:pPr>
        <w:pStyle w:val="11"/>
        <w:ind w:left="412"/>
      </w:pPr>
      <w:r>
        <w:fldChar w:fldCharType="begin"/>
      </w:r>
      <w:r>
        <w:instrText xml:space="preserve"> HYPERLINK \l "_Toc15396605" </w:instrText>
      </w:r>
      <w:r>
        <w:fldChar w:fldCharType="separate"/>
      </w:r>
      <w:r>
        <w:rPr>
          <w:rStyle w:val="18"/>
          <w:rFonts w:hint="eastAsia"/>
          <w:bCs/>
        </w:rPr>
        <w:t>三、</w:t>
      </w:r>
      <w:r>
        <w:rPr>
          <w:rStyle w:val="18"/>
          <w:rFonts w:hint="eastAsia"/>
        </w:rPr>
        <w:t>支</w:t>
      </w:r>
      <w:r>
        <w:rPr>
          <w:rStyle w:val="18"/>
          <w:rFonts w:hint="eastAsia"/>
          <w:bCs/>
        </w:rPr>
        <w:t>出决算情况说明</w:t>
      </w:r>
      <w:r>
        <w:tab/>
      </w:r>
      <w:r>
        <w:fldChar w:fldCharType="begin"/>
      </w:r>
      <w:r>
        <w:instrText xml:space="preserve"> PAGEREF _Toc15396605 \h </w:instrText>
      </w:r>
      <w:r>
        <w:fldChar w:fldCharType="separate"/>
      </w:r>
      <w:r>
        <w:t>5</w:t>
      </w:r>
      <w:r>
        <w:fldChar w:fldCharType="end"/>
      </w:r>
      <w:r>
        <w:fldChar w:fldCharType="end"/>
      </w:r>
    </w:p>
    <w:p>
      <w:pPr>
        <w:pStyle w:val="11"/>
        <w:ind w:left="412"/>
      </w:pPr>
      <w:r>
        <w:fldChar w:fldCharType="begin"/>
      </w:r>
      <w:r>
        <w:instrText xml:space="preserve"> HYPERLINK \l "_Toc15396606" </w:instrText>
      </w:r>
      <w:r>
        <w:fldChar w:fldCharType="separate"/>
      </w:r>
      <w:r>
        <w:rPr>
          <w:rStyle w:val="18"/>
          <w:rFonts w:hint="eastAsia"/>
        </w:rPr>
        <w:t>四、财</w:t>
      </w:r>
      <w:r>
        <w:rPr>
          <w:rStyle w:val="18"/>
          <w:rFonts w:hint="eastAsia"/>
          <w:bCs/>
        </w:rPr>
        <w:t>政拨款收入支出决算总体情况说明</w:t>
      </w:r>
      <w:r>
        <w:tab/>
      </w:r>
      <w:r>
        <w:fldChar w:fldCharType="begin"/>
      </w:r>
      <w:r>
        <w:instrText xml:space="preserve"> PAGEREF _Toc15396606 \h </w:instrText>
      </w:r>
      <w:r>
        <w:fldChar w:fldCharType="separate"/>
      </w:r>
      <w:r>
        <w:t>6</w:t>
      </w:r>
      <w:r>
        <w:fldChar w:fldCharType="end"/>
      </w:r>
      <w:r>
        <w:fldChar w:fldCharType="end"/>
      </w:r>
    </w:p>
    <w:p>
      <w:pPr>
        <w:pStyle w:val="11"/>
        <w:ind w:left="412"/>
      </w:pPr>
      <w:r>
        <w:fldChar w:fldCharType="begin"/>
      </w:r>
      <w:r>
        <w:instrText xml:space="preserve"> HYPERLINK \l "_Toc15396607" </w:instrText>
      </w:r>
      <w:r>
        <w:fldChar w:fldCharType="separate"/>
      </w:r>
      <w:r>
        <w:rPr>
          <w:rStyle w:val="18"/>
          <w:rFonts w:hint="eastAsia"/>
        </w:rPr>
        <w:t>五、一</w:t>
      </w:r>
      <w:r>
        <w:rPr>
          <w:rStyle w:val="18"/>
          <w:rFonts w:hint="eastAsia"/>
          <w:bCs/>
        </w:rPr>
        <w:t>般公共预算财政拨款支出决算情况说明</w:t>
      </w:r>
      <w:r>
        <w:tab/>
      </w:r>
      <w:r>
        <w:fldChar w:fldCharType="begin"/>
      </w:r>
      <w:r>
        <w:instrText xml:space="preserve"> PAGEREF _Toc15396607 \h </w:instrText>
      </w:r>
      <w:r>
        <w:fldChar w:fldCharType="separate"/>
      </w:r>
      <w:r>
        <w:t>6</w:t>
      </w:r>
      <w:r>
        <w:fldChar w:fldCharType="end"/>
      </w:r>
      <w:r>
        <w:fldChar w:fldCharType="end"/>
      </w:r>
    </w:p>
    <w:p>
      <w:pPr>
        <w:pStyle w:val="11"/>
        <w:ind w:left="412"/>
      </w:pPr>
      <w:r>
        <w:fldChar w:fldCharType="begin"/>
      </w:r>
      <w:r>
        <w:instrText xml:space="preserve"> HYPERLINK \l "_Toc15396608" </w:instrText>
      </w:r>
      <w:r>
        <w:fldChar w:fldCharType="separate"/>
      </w:r>
      <w:r>
        <w:rPr>
          <w:rStyle w:val="18"/>
          <w:rFonts w:hint="eastAsia"/>
        </w:rPr>
        <w:t>六、一</w:t>
      </w:r>
      <w:r>
        <w:rPr>
          <w:rStyle w:val="18"/>
          <w:rFonts w:hint="eastAsia"/>
          <w:bCs/>
        </w:rPr>
        <w:t>般公共预算财政拨款基本支出决算情况说明</w:t>
      </w:r>
      <w:r>
        <w:tab/>
      </w:r>
      <w:r>
        <w:fldChar w:fldCharType="begin"/>
      </w:r>
      <w:r>
        <w:instrText xml:space="preserve"> PAGEREF _Toc15396608 \h </w:instrText>
      </w:r>
      <w:r>
        <w:fldChar w:fldCharType="separate"/>
      </w:r>
      <w:r>
        <w:t>8</w:t>
      </w:r>
      <w:r>
        <w:fldChar w:fldCharType="end"/>
      </w:r>
      <w:r>
        <w:fldChar w:fldCharType="end"/>
      </w:r>
    </w:p>
    <w:p>
      <w:pPr>
        <w:pStyle w:val="11"/>
        <w:ind w:left="412"/>
      </w:pPr>
      <w:r>
        <w:fldChar w:fldCharType="begin"/>
      </w:r>
      <w:r>
        <w:instrText xml:space="preserve"> HYPERLINK \l "_Toc15396609" </w:instrText>
      </w:r>
      <w:r>
        <w:fldChar w:fldCharType="separate"/>
      </w:r>
      <w:r>
        <w:rPr>
          <w:rStyle w:val="18"/>
          <w:rFonts w:hint="eastAsia"/>
        </w:rPr>
        <w:t>七、“</w:t>
      </w:r>
      <w:r>
        <w:rPr>
          <w:rStyle w:val="18"/>
          <w:rFonts w:hint="eastAsia"/>
          <w:bCs/>
        </w:rPr>
        <w:t>三公”经费财政拨款支出决算情况说明</w:t>
      </w:r>
      <w:r>
        <w:tab/>
      </w:r>
      <w:r>
        <w:fldChar w:fldCharType="begin"/>
      </w:r>
      <w:r>
        <w:instrText xml:space="preserve"> PAGEREF _Toc15396609 \h </w:instrText>
      </w:r>
      <w:r>
        <w:fldChar w:fldCharType="separate"/>
      </w:r>
      <w:r>
        <w:t>9</w:t>
      </w:r>
      <w:r>
        <w:fldChar w:fldCharType="end"/>
      </w:r>
      <w:r>
        <w:fldChar w:fldCharType="end"/>
      </w:r>
    </w:p>
    <w:p>
      <w:pPr>
        <w:pStyle w:val="11"/>
        <w:ind w:left="412"/>
      </w:pPr>
      <w:r>
        <w:fldChar w:fldCharType="begin"/>
      </w:r>
      <w:r>
        <w:instrText xml:space="preserve"> HYPERLINK \l "_Toc15396610" </w:instrText>
      </w:r>
      <w:r>
        <w:fldChar w:fldCharType="separate"/>
      </w:r>
      <w:r>
        <w:rPr>
          <w:rStyle w:val="18"/>
          <w:rFonts w:hint="eastAsia"/>
        </w:rPr>
        <w:t>八、</w:t>
      </w:r>
      <w:r>
        <w:rPr>
          <w:rStyle w:val="18"/>
          <w:rFonts w:hint="eastAsia"/>
          <w:bCs/>
        </w:rPr>
        <w:t>政府性基金预算支出决算情况说明</w:t>
      </w:r>
      <w:r>
        <w:tab/>
      </w:r>
      <w:r>
        <w:fldChar w:fldCharType="begin"/>
      </w:r>
      <w:r>
        <w:instrText xml:space="preserve"> PAGEREF _Toc15396610 \h </w:instrText>
      </w:r>
      <w:r>
        <w:fldChar w:fldCharType="separate"/>
      </w:r>
      <w:r>
        <w:t>10</w:t>
      </w:r>
      <w:r>
        <w:fldChar w:fldCharType="end"/>
      </w:r>
      <w:r>
        <w:fldChar w:fldCharType="end"/>
      </w:r>
    </w:p>
    <w:p>
      <w:pPr>
        <w:pStyle w:val="11"/>
        <w:ind w:left="412"/>
      </w:pPr>
      <w:r>
        <w:fldChar w:fldCharType="begin"/>
      </w:r>
      <w:r>
        <w:instrText xml:space="preserve"> HYPERLINK \l "_Toc15396611" </w:instrText>
      </w:r>
      <w:r>
        <w:fldChar w:fldCharType="separate"/>
      </w:r>
      <w:r>
        <w:rPr>
          <w:rStyle w:val="18"/>
          <w:rFonts w:hint="eastAsia"/>
          <w:bCs/>
        </w:rPr>
        <w:t>九、</w:t>
      </w:r>
      <w:r>
        <w:rPr>
          <w:rStyle w:val="18"/>
        </w:rPr>
        <w:t xml:space="preserve"> </w:t>
      </w:r>
      <w:r>
        <w:rPr>
          <w:rStyle w:val="18"/>
          <w:rFonts w:hint="eastAsia"/>
        </w:rPr>
        <w:t>国</w:t>
      </w:r>
      <w:r>
        <w:rPr>
          <w:rStyle w:val="18"/>
          <w:rFonts w:hint="eastAsia"/>
          <w:bCs/>
        </w:rPr>
        <w:t>有资本经营预算支出决算情况说明</w:t>
      </w:r>
      <w:r>
        <w:tab/>
      </w:r>
      <w:r>
        <w:fldChar w:fldCharType="begin"/>
      </w:r>
      <w:r>
        <w:instrText xml:space="preserve"> PAGEREF _Toc15396611 \h </w:instrText>
      </w:r>
      <w:r>
        <w:fldChar w:fldCharType="separate"/>
      </w:r>
      <w:r>
        <w:t>10</w:t>
      </w:r>
      <w:r>
        <w:fldChar w:fldCharType="end"/>
      </w:r>
      <w:r>
        <w:fldChar w:fldCharType="end"/>
      </w:r>
    </w:p>
    <w:p>
      <w:pPr>
        <w:pStyle w:val="11"/>
        <w:ind w:left="412"/>
        <w:rPr>
          <w:rStyle w:val="18"/>
          <w:bCs/>
          <w:color w:val="auto"/>
          <w:u w:val="none"/>
        </w:rPr>
      </w:pPr>
      <w:r>
        <w:rPr>
          <w:rStyle w:val="18"/>
          <w:rFonts w:hint="eastAsia"/>
          <w:bCs/>
          <w:color w:val="auto"/>
          <w:u w:val="none"/>
        </w:rPr>
        <w:t>十、</w:t>
      </w:r>
      <w:r>
        <w:rPr>
          <w:rStyle w:val="18"/>
          <w:bCs/>
          <w:color w:val="auto"/>
          <w:u w:val="none"/>
        </w:rPr>
        <w:t xml:space="preserve"> </w:t>
      </w:r>
      <w:r>
        <w:rPr>
          <w:rStyle w:val="18"/>
          <w:rFonts w:hint="eastAsia"/>
          <w:bCs/>
          <w:color w:val="auto"/>
          <w:u w:val="none"/>
        </w:rPr>
        <w:t>预算绩效情况说明</w:t>
      </w:r>
      <w:r>
        <w:rPr>
          <w:rStyle w:val="18"/>
          <w:bCs/>
          <w:color w:val="auto"/>
          <w:u w:val="none"/>
        </w:rPr>
        <w:tab/>
      </w:r>
      <w:r>
        <w:rPr>
          <w:rStyle w:val="18"/>
          <w:bCs/>
          <w:color w:val="auto"/>
          <w:u w:val="none"/>
        </w:rPr>
        <w:fldChar w:fldCharType="begin"/>
      </w:r>
      <w:r>
        <w:rPr>
          <w:rStyle w:val="18"/>
          <w:bCs/>
          <w:color w:val="auto"/>
          <w:u w:val="none"/>
        </w:rPr>
        <w:instrText xml:space="preserve"> PAGEREF _Toc15396611 \h </w:instrText>
      </w:r>
      <w:r>
        <w:rPr>
          <w:rStyle w:val="18"/>
          <w:bCs/>
          <w:color w:val="auto"/>
          <w:u w:val="none"/>
        </w:rPr>
        <w:fldChar w:fldCharType="separate"/>
      </w:r>
      <w:r>
        <w:rPr>
          <w:rStyle w:val="18"/>
          <w:bCs/>
          <w:color w:val="auto"/>
          <w:u w:val="none"/>
        </w:rPr>
        <w:t>11</w:t>
      </w:r>
      <w:r>
        <w:rPr>
          <w:rStyle w:val="18"/>
          <w:bCs/>
          <w:color w:val="auto"/>
          <w:u w:val="none"/>
        </w:rPr>
        <w:fldChar w:fldCharType="end"/>
      </w:r>
    </w:p>
    <w:p>
      <w:pPr>
        <w:pStyle w:val="11"/>
        <w:ind w:left="412"/>
      </w:pPr>
      <w:r>
        <w:fldChar w:fldCharType="begin"/>
      </w:r>
      <w:r>
        <w:instrText xml:space="preserve"> HYPERLINK \l "_Toc15396612" </w:instrText>
      </w:r>
      <w:r>
        <w:fldChar w:fldCharType="separate"/>
      </w:r>
      <w:r>
        <w:rPr>
          <w:rStyle w:val="18"/>
          <w:rFonts w:hint="eastAsia"/>
        </w:rPr>
        <w:t>十</w:t>
      </w:r>
      <w:r>
        <w:rPr>
          <w:rStyle w:val="18"/>
          <w:rFonts w:hint="eastAsia"/>
          <w:bCs/>
        </w:rPr>
        <w:t>一、其他重要事项的情况说明</w:t>
      </w:r>
      <w:r>
        <w:tab/>
      </w:r>
      <w:r>
        <w:fldChar w:fldCharType="begin"/>
      </w:r>
      <w:r>
        <w:instrText xml:space="preserve"> PAGEREF _Toc15396612 \h </w:instrText>
      </w:r>
      <w:r>
        <w:fldChar w:fldCharType="separate"/>
      </w:r>
      <w:r>
        <w:t>14</w:t>
      </w:r>
      <w:r>
        <w:fldChar w:fldCharType="end"/>
      </w:r>
      <w:r>
        <w:fldChar w:fldCharType="end"/>
      </w:r>
    </w:p>
    <w:p>
      <w:pPr>
        <w:pStyle w:val="10"/>
      </w:pPr>
      <w:r>
        <w:fldChar w:fldCharType="begin"/>
      </w:r>
      <w:r>
        <w:instrText xml:space="preserve"> HYPERLINK \l "_Toc15396613" </w:instrText>
      </w:r>
      <w:r>
        <w:fldChar w:fldCharType="separate"/>
      </w:r>
      <w:r>
        <w:rPr>
          <w:rStyle w:val="18"/>
          <w:rFonts w:hint="eastAsia"/>
          <w:bCs/>
          <w:kern w:val="44"/>
        </w:rPr>
        <w:t>第三部分</w:t>
      </w:r>
      <w:r>
        <w:rPr>
          <w:rStyle w:val="18"/>
        </w:rPr>
        <w:t xml:space="preserve"> </w:t>
      </w:r>
      <w:r>
        <w:rPr>
          <w:rStyle w:val="18"/>
          <w:rFonts w:hint="eastAsia"/>
        </w:rPr>
        <w:t>名</w:t>
      </w:r>
      <w:r>
        <w:rPr>
          <w:rStyle w:val="18"/>
          <w:rFonts w:hint="eastAsia"/>
          <w:bCs/>
          <w:kern w:val="44"/>
        </w:rPr>
        <w:t>词解释</w:t>
      </w:r>
      <w:r>
        <w:tab/>
      </w:r>
      <w:r>
        <w:fldChar w:fldCharType="begin"/>
      </w:r>
      <w:r>
        <w:instrText xml:space="preserve"> PAGEREF _Toc15396613 \h </w:instrText>
      </w:r>
      <w:r>
        <w:fldChar w:fldCharType="separate"/>
      </w:r>
      <w:r>
        <w:t>16</w:t>
      </w:r>
      <w:r>
        <w:fldChar w:fldCharType="end"/>
      </w:r>
      <w:r>
        <w:fldChar w:fldCharType="end"/>
      </w:r>
    </w:p>
    <w:p>
      <w:pPr>
        <w:pStyle w:val="10"/>
      </w:pPr>
      <w:r>
        <w:fldChar w:fldCharType="begin"/>
      </w:r>
      <w:r>
        <w:instrText xml:space="preserve"> HYPERLINK \l "_Toc15396614" </w:instrText>
      </w:r>
      <w:r>
        <w:fldChar w:fldCharType="separate"/>
      </w:r>
      <w:r>
        <w:rPr>
          <w:rStyle w:val="18"/>
          <w:rFonts w:hint="eastAsia"/>
        </w:rPr>
        <w:t>第</w:t>
      </w:r>
      <w:r>
        <w:rPr>
          <w:rStyle w:val="18"/>
          <w:rFonts w:hint="eastAsia"/>
          <w:bCs/>
          <w:kern w:val="44"/>
        </w:rPr>
        <w:t>四部分附件</w:t>
      </w:r>
      <w:r>
        <w:tab/>
      </w:r>
      <w:r>
        <w:fldChar w:fldCharType="begin"/>
      </w:r>
      <w:r>
        <w:instrText xml:space="preserve"> PAGEREF _Toc15396614 \h </w:instrText>
      </w:r>
      <w:r>
        <w:fldChar w:fldCharType="separate"/>
      </w:r>
      <w:r>
        <w:t>19</w:t>
      </w:r>
      <w:r>
        <w:fldChar w:fldCharType="end"/>
      </w:r>
      <w:r>
        <w:fldChar w:fldCharType="end"/>
      </w:r>
    </w:p>
    <w:p>
      <w:pPr>
        <w:pStyle w:val="11"/>
        <w:ind w:left="412"/>
      </w:pPr>
      <w:r>
        <w:fldChar w:fldCharType="begin"/>
      </w:r>
      <w:r>
        <w:instrText xml:space="preserve"> HYPERLINK \l "_Toc15396615" </w:instrText>
      </w:r>
      <w:r>
        <w:fldChar w:fldCharType="separate"/>
      </w:r>
      <w:r>
        <w:rPr>
          <w:rStyle w:val="18"/>
          <w:rFonts w:hint="eastAsia"/>
          <w:kern w:val="44"/>
        </w:rPr>
        <w:t>附件</w:t>
      </w:r>
      <w:r>
        <w:rPr>
          <w:rStyle w:val="18"/>
          <w:kern w:val="44"/>
        </w:rPr>
        <w:t>1</w:t>
      </w:r>
      <w:r>
        <w:tab/>
      </w:r>
      <w:r>
        <w:fldChar w:fldCharType="begin"/>
      </w:r>
      <w:r>
        <w:instrText xml:space="preserve"> PAGEREF _Toc15396615 \h </w:instrText>
      </w:r>
      <w:r>
        <w:fldChar w:fldCharType="separate"/>
      </w:r>
      <w:r>
        <w:t>19</w:t>
      </w:r>
      <w:r>
        <w:fldChar w:fldCharType="end"/>
      </w:r>
      <w:r>
        <w:fldChar w:fldCharType="end"/>
      </w:r>
    </w:p>
    <w:p>
      <w:pPr>
        <w:pStyle w:val="11"/>
        <w:ind w:left="412"/>
      </w:pPr>
      <w:r>
        <w:fldChar w:fldCharType="begin"/>
      </w:r>
      <w:r>
        <w:instrText xml:space="preserve"> HYPERLINK \l "_Toc15396617" </w:instrText>
      </w:r>
      <w:r>
        <w:fldChar w:fldCharType="separate"/>
      </w:r>
      <w:r>
        <w:rPr>
          <w:rStyle w:val="18"/>
          <w:rFonts w:hint="eastAsia"/>
          <w:kern w:val="44"/>
        </w:rPr>
        <w:t>附件</w:t>
      </w:r>
      <w:r>
        <w:rPr>
          <w:rStyle w:val="18"/>
          <w:kern w:val="44"/>
        </w:rPr>
        <w:t>2</w:t>
      </w:r>
      <w:r>
        <w:tab/>
      </w:r>
      <w:r>
        <w:fldChar w:fldCharType="begin"/>
      </w:r>
      <w:r>
        <w:instrText xml:space="preserve"> PAGEREF _Toc15396617 \h </w:instrText>
      </w:r>
      <w:r>
        <w:fldChar w:fldCharType="separate"/>
      </w:r>
      <w:r>
        <w:t>21</w:t>
      </w:r>
      <w:r>
        <w:fldChar w:fldCharType="end"/>
      </w:r>
      <w:r>
        <w:fldChar w:fldCharType="end"/>
      </w:r>
    </w:p>
    <w:p>
      <w:pPr>
        <w:pStyle w:val="10"/>
      </w:pPr>
      <w:r>
        <w:fldChar w:fldCharType="begin"/>
      </w:r>
      <w:r>
        <w:instrText xml:space="preserve"> HYPERLINK \l "_Toc15396618" </w:instrText>
      </w:r>
      <w:r>
        <w:fldChar w:fldCharType="separate"/>
      </w:r>
      <w:r>
        <w:rPr>
          <w:rStyle w:val="18"/>
          <w:rFonts w:hint="eastAsia"/>
        </w:rPr>
        <w:t>第</w:t>
      </w:r>
      <w:r>
        <w:rPr>
          <w:rStyle w:val="18"/>
          <w:rFonts w:hint="eastAsia"/>
          <w:bCs/>
          <w:kern w:val="44"/>
        </w:rPr>
        <w:t>五部分附表</w:t>
      </w:r>
      <w:r>
        <w:tab/>
      </w:r>
      <w:r>
        <w:fldChar w:fldCharType="begin"/>
      </w:r>
      <w:r>
        <w:instrText xml:space="preserve"> PAGEREF _Toc15396618 \h </w:instrText>
      </w:r>
      <w:r>
        <w:fldChar w:fldCharType="separate"/>
      </w:r>
      <w:r>
        <w:t>22</w:t>
      </w:r>
      <w:r>
        <w:fldChar w:fldCharType="end"/>
      </w:r>
      <w:r>
        <w:fldChar w:fldCharType="end"/>
      </w:r>
    </w:p>
    <w:p>
      <w:pPr>
        <w:pStyle w:val="11"/>
        <w:ind w:left="412"/>
      </w:pPr>
      <w:r>
        <w:rPr>
          <w:rFonts w:hint="eastAsia"/>
        </w:rPr>
        <w:t>一、</w:t>
      </w:r>
      <w:r>
        <w:fldChar w:fldCharType="begin"/>
      </w:r>
      <w:r>
        <w:instrText xml:space="preserve"> HYPERLINK \l "_Toc15396619" </w:instrText>
      </w:r>
      <w:r>
        <w:fldChar w:fldCharType="separate"/>
      </w:r>
      <w:r>
        <w:rPr>
          <w:rStyle w:val="18"/>
          <w:rFonts w:hint="eastAsia"/>
        </w:rPr>
        <w:t>收入支出决算总表</w:t>
      </w:r>
      <w:r>
        <w:tab/>
      </w:r>
      <w:r>
        <w:fldChar w:fldCharType="begin"/>
      </w:r>
      <w:r>
        <w:instrText xml:space="preserve"> PAGEREF _Toc15396619 \h </w:instrText>
      </w:r>
      <w:r>
        <w:fldChar w:fldCharType="separate"/>
      </w:r>
      <w:r>
        <w:t>22</w:t>
      </w:r>
      <w:r>
        <w:fldChar w:fldCharType="end"/>
      </w:r>
      <w:r>
        <w:fldChar w:fldCharType="end"/>
      </w:r>
    </w:p>
    <w:p>
      <w:pPr>
        <w:pStyle w:val="11"/>
        <w:ind w:left="412"/>
      </w:pPr>
      <w:r>
        <w:rPr>
          <w:rFonts w:hint="eastAsia"/>
        </w:rPr>
        <w:t>二、</w:t>
      </w:r>
      <w:r>
        <w:fldChar w:fldCharType="begin"/>
      </w:r>
      <w:r>
        <w:instrText xml:space="preserve"> HYPERLINK \l "_Toc15396620" </w:instrText>
      </w:r>
      <w:r>
        <w:fldChar w:fldCharType="separate"/>
      </w:r>
      <w:r>
        <w:rPr>
          <w:rStyle w:val="18"/>
          <w:rFonts w:hint="eastAsia"/>
        </w:rPr>
        <w:t>收入总表</w:t>
      </w:r>
      <w:r>
        <w:tab/>
      </w:r>
      <w:r>
        <w:fldChar w:fldCharType="begin"/>
      </w:r>
      <w:r>
        <w:instrText xml:space="preserve"> PAGEREF _Toc15396620 \h </w:instrText>
      </w:r>
      <w:r>
        <w:fldChar w:fldCharType="separate"/>
      </w:r>
      <w:r>
        <w:t>22</w:t>
      </w:r>
      <w:r>
        <w:fldChar w:fldCharType="end"/>
      </w:r>
      <w:r>
        <w:fldChar w:fldCharType="end"/>
      </w:r>
    </w:p>
    <w:p>
      <w:pPr>
        <w:pStyle w:val="11"/>
        <w:ind w:left="412"/>
      </w:pPr>
      <w:r>
        <w:rPr>
          <w:rFonts w:hint="eastAsia"/>
        </w:rPr>
        <w:t>三、</w:t>
      </w:r>
      <w:r>
        <w:fldChar w:fldCharType="begin"/>
      </w:r>
      <w:r>
        <w:instrText xml:space="preserve"> HYPERLINK \l "_Toc15396621" </w:instrText>
      </w:r>
      <w:r>
        <w:fldChar w:fldCharType="separate"/>
      </w:r>
      <w:r>
        <w:rPr>
          <w:rStyle w:val="18"/>
          <w:rFonts w:hint="eastAsia"/>
        </w:rPr>
        <w:t>支出总表</w:t>
      </w:r>
      <w:r>
        <w:tab/>
      </w:r>
      <w:r>
        <w:fldChar w:fldCharType="begin"/>
      </w:r>
      <w:r>
        <w:instrText xml:space="preserve"> PAGEREF _Toc15396621 \h </w:instrText>
      </w:r>
      <w:r>
        <w:fldChar w:fldCharType="separate"/>
      </w:r>
      <w:r>
        <w:t>22</w:t>
      </w:r>
      <w:r>
        <w:fldChar w:fldCharType="end"/>
      </w:r>
      <w:r>
        <w:fldChar w:fldCharType="end"/>
      </w:r>
    </w:p>
    <w:p>
      <w:pPr>
        <w:pStyle w:val="11"/>
        <w:ind w:left="412"/>
      </w:pPr>
      <w:r>
        <w:rPr>
          <w:rFonts w:hint="eastAsia"/>
        </w:rPr>
        <w:t>四、</w:t>
      </w:r>
      <w:r>
        <w:fldChar w:fldCharType="begin"/>
      </w:r>
      <w:r>
        <w:instrText xml:space="preserve"> HYPERLINK \l "_Toc15396622" </w:instrText>
      </w:r>
      <w:r>
        <w:fldChar w:fldCharType="separate"/>
      </w:r>
      <w:r>
        <w:rPr>
          <w:rStyle w:val="18"/>
          <w:rFonts w:hint="eastAsia"/>
        </w:rPr>
        <w:t>财政拨款收入支出决算总表</w:t>
      </w:r>
      <w:r>
        <w:tab/>
      </w:r>
      <w:r>
        <w:fldChar w:fldCharType="begin"/>
      </w:r>
      <w:r>
        <w:instrText xml:space="preserve"> PAGEREF _Toc15396622 \h </w:instrText>
      </w:r>
      <w:r>
        <w:fldChar w:fldCharType="separate"/>
      </w:r>
      <w:r>
        <w:t>22</w:t>
      </w:r>
      <w:r>
        <w:fldChar w:fldCharType="end"/>
      </w:r>
      <w:r>
        <w:fldChar w:fldCharType="end"/>
      </w:r>
    </w:p>
    <w:p>
      <w:pPr>
        <w:pStyle w:val="11"/>
        <w:ind w:left="412"/>
      </w:pPr>
      <w:r>
        <w:rPr>
          <w:rFonts w:hint="eastAsia"/>
        </w:rPr>
        <w:t>五、</w:t>
      </w:r>
      <w:r>
        <w:fldChar w:fldCharType="begin"/>
      </w:r>
      <w:r>
        <w:instrText xml:space="preserve"> HYPERLINK \l "_Toc15396623" </w:instrText>
      </w:r>
      <w:r>
        <w:fldChar w:fldCharType="separate"/>
      </w:r>
      <w:r>
        <w:rPr>
          <w:rFonts w:hint="eastAsia"/>
        </w:rPr>
        <w:t>财政拨款支出决算明细表（政府经济分类科目）</w:t>
      </w:r>
      <w:r>
        <w:tab/>
      </w:r>
      <w:r>
        <w:fldChar w:fldCharType="begin"/>
      </w:r>
      <w:r>
        <w:instrText xml:space="preserve"> PAGEREF _Toc15396623 \h </w:instrText>
      </w:r>
      <w:r>
        <w:fldChar w:fldCharType="separate"/>
      </w:r>
      <w:r>
        <w:t>22</w:t>
      </w:r>
      <w:r>
        <w:fldChar w:fldCharType="end"/>
      </w:r>
      <w:r>
        <w:fldChar w:fldCharType="end"/>
      </w:r>
    </w:p>
    <w:p>
      <w:pPr>
        <w:pStyle w:val="11"/>
        <w:ind w:left="412"/>
      </w:pPr>
      <w:r>
        <w:rPr>
          <w:rFonts w:hint="eastAsia"/>
        </w:rPr>
        <w:t>六、</w:t>
      </w:r>
      <w:r>
        <w:fldChar w:fldCharType="begin"/>
      </w:r>
      <w:r>
        <w:instrText xml:space="preserve"> HYPERLINK \l "_Toc15396624" </w:instrText>
      </w:r>
      <w:r>
        <w:fldChar w:fldCharType="separate"/>
      </w:r>
      <w:r>
        <w:rPr>
          <w:rStyle w:val="18"/>
          <w:rFonts w:hint="eastAsia"/>
        </w:rPr>
        <w:t>一般公共预算财政拨款支出决算表</w:t>
      </w:r>
      <w:r>
        <w:tab/>
      </w:r>
      <w:r>
        <w:fldChar w:fldCharType="begin"/>
      </w:r>
      <w:r>
        <w:instrText xml:space="preserve"> PAGEREF _Toc15396624 \h </w:instrText>
      </w:r>
      <w:r>
        <w:fldChar w:fldCharType="separate"/>
      </w:r>
      <w:r>
        <w:t>22</w:t>
      </w:r>
      <w:r>
        <w:fldChar w:fldCharType="end"/>
      </w:r>
      <w:r>
        <w:fldChar w:fldCharType="end"/>
      </w:r>
    </w:p>
    <w:p>
      <w:pPr>
        <w:pStyle w:val="11"/>
        <w:ind w:left="412"/>
      </w:pPr>
      <w:r>
        <w:rPr>
          <w:rFonts w:hint="eastAsia"/>
        </w:rPr>
        <w:t>七、</w:t>
      </w:r>
      <w:r>
        <w:fldChar w:fldCharType="begin"/>
      </w:r>
      <w:r>
        <w:instrText xml:space="preserve"> HYPERLINK \l "_Toc15396625" </w:instrText>
      </w:r>
      <w:r>
        <w:fldChar w:fldCharType="separate"/>
      </w:r>
      <w:r>
        <w:rPr>
          <w:rStyle w:val="18"/>
          <w:rFonts w:hint="eastAsia"/>
        </w:rPr>
        <w:t>一般公共预算财政拨款支出决算明细表</w:t>
      </w:r>
      <w:r>
        <w:tab/>
      </w:r>
      <w:r>
        <w:fldChar w:fldCharType="begin"/>
      </w:r>
      <w:r>
        <w:instrText xml:space="preserve"> PAGEREF _Toc15396625 \h </w:instrText>
      </w:r>
      <w:r>
        <w:fldChar w:fldCharType="separate"/>
      </w:r>
      <w:r>
        <w:t>22</w:t>
      </w:r>
      <w:r>
        <w:fldChar w:fldCharType="end"/>
      </w:r>
      <w:r>
        <w:fldChar w:fldCharType="end"/>
      </w:r>
    </w:p>
    <w:p>
      <w:pPr>
        <w:pStyle w:val="11"/>
        <w:ind w:left="412"/>
      </w:pPr>
      <w:r>
        <w:rPr>
          <w:rFonts w:hint="eastAsia"/>
        </w:rPr>
        <w:t>八、</w:t>
      </w:r>
      <w:r>
        <w:fldChar w:fldCharType="begin"/>
      </w:r>
      <w:r>
        <w:instrText xml:space="preserve"> HYPERLINK \l "_Toc15396626" </w:instrText>
      </w:r>
      <w:r>
        <w:fldChar w:fldCharType="separate"/>
      </w:r>
      <w:r>
        <w:rPr>
          <w:rStyle w:val="18"/>
          <w:rFonts w:hint="eastAsia"/>
        </w:rPr>
        <w:t>一般公共预算财政拨款基本支出决算表</w:t>
      </w:r>
      <w:r>
        <w:tab/>
      </w:r>
      <w:r>
        <w:fldChar w:fldCharType="begin"/>
      </w:r>
      <w:r>
        <w:instrText xml:space="preserve"> PAGEREF _Toc15396626 \h </w:instrText>
      </w:r>
      <w:r>
        <w:fldChar w:fldCharType="separate"/>
      </w:r>
      <w:r>
        <w:t>22</w:t>
      </w:r>
      <w:r>
        <w:fldChar w:fldCharType="end"/>
      </w:r>
      <w:r>
        <w:fldChar w:fldCharType="end"/>
      </w:r>
    </w:p>
    <w:p>
      <w:pPr>
        <w:pStyle w:val="11"/>
        <w:ind w:left="412"/>
      </w:pPr>
      <w:r>
        <w:rPr>
          <w:rFonts w:hint="eastAsia"/>
        </w:rPr>
        <w:t>九、</w:t>
      </w:r>
      <w:r>
        <w:fldChar w:fldCharType="begin"/>
      </w:r>
      <w:r>
        <w:instrText xml:space="preserve"> HYPERLINK \l "_Toc15396627" </w:instrText>
      </w:r>
      <w:r>
        <w:fldChar w:fldCharType="separate"/>
      </w:r>
      <w:r>
        <w:rPr>
          <w:rStyle w:val="18"/>
          <w:rFonts w:hint="eastAsia"/>
        </w:rPr>
        <w:t>一般公共预算财政拨款项目支出决算表</w:t>
      </w:r>
      <w:r>
        <w:tab/>
      </w:r>
      <w:r>
        <w:fldChar w:fldCharType="begin"/>
      </w:r>
      <w:r>
        <w:instrText xml:space="preserve"> PAGEREF _Toc15396627 \h </w:instrText>
      </w:r>
      <w:r>
        <w:fldChar w:fldCharType="separate"/>
      </w:r>
      <w:r>
        <w:t>22</w:t>
      </w:r>
      <w:r>
        <w:fldChar w:fldCharType="end"/>
      </w:r>
      <w:r>
        <w:fldChar w:fldCharType="end"/>
      </w:r>
    </w:p>
    <w:p>
      <w:pPr>
        <w:pStyle w:val="11"/>
        <w:ind w:left="412"/>
      </w:pPr>
      <w:r>
        <w:rPr>
          <w:rFonts w:hint="eastAsia"/>
        </w:rPr>
        <w:t>十、</w:t>
      </w:r>
      <w:r>
        <w:fldChar w:fldCharType="begin"/>
      </w:r>
      <w:r>
        <w:instrText xml:space="preserve"> HYPERLINK \l "_Toc15396628" </w:instrText>
      </w:r>
      <w:r>
        <w:fldChar w:fldCharType="separate"/>
      </w:r>
      <w:r>
        <w:rPr>
          <w:rStyle w:val="18"/>
          <w:rFonts w:hint="eastAsia"/>
        </w:rPr>
        <w:t>一般公共预算财政拨款“三公”经费支出决算表</w:t>
      </w:r>
      <w:r>
        <w:tab/>
      </w:r>
      <w:r>
        <w:fldChar w:fldCharType="begin"/>
      </w:r>
      <w:r>
        <w:instrText xml:space="preserve"> PAGEREF _Toc15396628 \h </w:instrText>
      </w:r>
      <w:r>
        <w:fldChar w:fldCharType="separate"/>
      </w:r>
      <w:r>
        <w:t>22</w:t>
      </w:r>
      <w:r>
        <w:fldChar w:fldCharType="end"/>
      </w:r>
      <w:r>
        <w:fldChar w:fldCharType="end"/>
      </w:r>
    </w:p>
    <w:p>
      <w:pPr>
        <w:pStyle w:val="11"/>
        <w:ind w:left="412"/>
      </w:pPr>
      <w:r>
        <w:rPr>
          <w:rFonts w:hint="eastAsia"/>
        </w:rPr>
        <w:t>十一、</w:t>
      </w:r>
      <w:r>
        <w:fldChar w:fldCharType="begin"/>
      </w:r>
      <w:r>
        <w:instrText xml:space="preserve"> HYPERLINK \l "_Toc15396629" </w:instrText>
      </w:r>
      <w:r>
        <w:fldChar w:fldCharType="separate"/>
      </w:r>
      <w:r>
        <w:rPr>
          <w:rStyle w:val="18"/>
          <w:rFonts w:hint="eastAsia"/>
        </w:rPr>
        <w:t>政府性基金预算财政拨款收入支出决算表</w:t>
      </w:r>
      <w:r>
        <w:tab/>
      </w:r>
      <w:r>
        <w:fldChar w:fldCharType="begin"/>
      </w:r>
      <w:r>
        <w:instrText xml:space="preserve"> PAGEREF _Toc15396629 \h </w:instrText>
      </w:r>
      <w:r>
        <w:fldChar w:fldCharType="separate"/>
      </w:r>
      <w:r>
        <w:t>22</w:t>
      </w:r>
      <w:r>
        <w:fldChar w:fldCharType="end"/>
      </w:r>
      <w:r>
        <w:fldChar w:fldCharType="end"/>
      </w:r>
    </w:p>
    <w:p>
      <w:pPr>
        <w:pStyle w:val="11"/>
        <w:ind w:left="412"/>
      </w:pPr>
      <w:r>
        <w:rPr>
          <w:rFonts w:hint="eastAsia"/>
        </w:rPr>
        <w:t>十二、</w:t>
      </w:r>
      <w:r>
        <w:fldChar w:fldCharType="begin"/>
      </w:r>
      <w:r>
        <w:instrText xml:space="preserve"> HYPERLINK \l "_Toc15396630" </w:instrText>
      </w:r>
      <w:r>
        <w:fldChar w:fldCharType="separate"/>
      </w:r>
      <w:r>
        <w:rPr>
          <w:rStyle w:val="18"/>
          <w:rFonts w:hint="eastAsia"/>
        </w:rPr>
        <w:t>政府性基金预算财政拨款“三公”经费支出决算表</w:t>
      </w:r>
      <w:r>
        <w:tab/>
      </w:r>
      <w:r>
        <w:fldChar w:fldCharType="begin"/>
      </w:r>
      <w:r>
        <w:instrText xml:space="preserve"> PAGEREF _Toc15396630 \h </w:instrText>
      </w:r>
      <w:r>
        <w:fldChar w:fldCharType="separate"/>
      </w:r>
      <w:r>
        <w:t>22</w:t>
      </w:r>
      <w:r>
        <w:fldChar w:fldCharType="end"/>
      </w:r>
      <w:r>
        <w:fldChar w:fldCharType="end"/>
      </w:r>
    </w:p>
    <w:p>
      <w:pPr>
        <w:pStyle w:val="11"/>
        <w:ind w:left="412"/>
        <w:rPr>
          <w:sz w:val="24"/>
        </w:rPr>
      </w:pPr>
      <w:r>
        <w:rPr>
          <w:rFonts w:hint="eastAsia"/>
        </w:rPr>
        <w:t>十三、</w:t>
      </w:r>
      <w:r>
        <w:fldChar w:fldCharType="begin"/>
      </w:r>
      <w:r>
        <w:instrText xml:space="preserve"> HYPERLINK \l "_Toc15396631" </w:instrText>
      </w:r>
      <w:r>
        <w:fldChar w:fldCharType="separate"/>
      </w:r>
      <w:r>
        <w:rPr>
          <w:rStyle w:val="18"/>
          <w:rFonts w:hint="eastAsia"/>
        </w:rPr>
        <w:t>国有资本经营预算支出决算表</w:t>
      </w:r>
      <w:r>
        <w:tab/>
      </w:r>
      <w:r>
        <w:fldChar w:fldCharType="begin"/>
      </w:r>
      <w:r>
        <w:instrText xml:space="preserve"> PAGEREF _Toc15396631 \h </w:instrText>
      </w:r>
      <w:r>
        <w:fldChar w:fldCharType="separate"/>
      </w:r>
      <w:r>
        <w:t>22</w:t>
      </w:r>
      <w:r>
        <w:fldChar w:fldCharType="end"/>
      </w:r>
      <w:r>
        <w:fldChar w:fldCharType="end"/>
      </w:r>
    </w:p>
    <w:p>
      <w:pPr>
        <w:widowControl/>
        <w:jc w:val="left"/>
        <w:rPr>
          <w:rFonts w:ascii="仿宋" w:hAnsi="仿宋" w:eastAsia="仿宋"/>
          <w:color w:val="000000"/>
          <w:sz w:val="24"/>
        </w:rPr>
      </w:pPr>
      <w:r>
        <w:rPr>
          <w:rFonts w:ascii="黑体" w:hAnsi="黑体" w:eastAsia="黑体"/>
          <w:color w:val="000000"/>
          <w:sz w:val="48"/>
          <w:szCs w:val="48"/>
        </w:rPr>
        <w:fldChar w:fldCharType="end"/>
      </w:r>
    </w:p>
    <w:p>
      <w:pPr>
        <w:widowControl/>
        <w:jc w:val="left"/>
        <w:rPr>
          <w:rFonts w:ascii="黑体" w:hAnsi="黑体" w:eastAsia="黑体"/>
          <w:bCs/>
          <w:kern w:val="44"/>
          <w:sz w:val="44"/>
          <w:szCs w:val="44"/>
        </w:rPr>
      </w:pPr>
      <w:bookmarkStart w:id="12" w:name="_Toc15396599"/>
      <w:bookmarkStart w:id="13" w:name="_Toc15377196"/>
      <w:r>
        <w:rPr>
          <w:rFonts w:ascii="黑体" w:hAnsi="黑体" w:eastAsia="黑体"/>
          <w:b/>
        </w:rPr>
        <w:br w:type="page"/>
      </w:r>
    </w:p>
    <w:p>
      <w:pPr>
        <w:pStyle w:val="2"/>
        <w:spacing w:line="240" w:lineRule="auto"/>
        <w:jc w:val="center"/>
        <w:rPr>
          <w:rStyle w:val="19"/>
          <w:rFonts w:ascii="黑体" w:hAnsi="黑体" w:eastAsia="黑体"/>
          <w:b/>
          <w:bCs w:val="0"/>
        </w:rPr>
      </w:pPr>
      <w:r>
        <w:rPr>
          <w:rFonts w:hint="eastAsia" w:ascii="黑体" w:hAnsi="黑体" w:eastAsia="黑体"/>
          <w:b w:val="0"/>
        </w:rPr>
        <w:t>第一部分</w:t>
      </w:r>
      <w:r>
        <w:rPr>
          <w:rFonts w:ascii="黑体" w:hAnsi="黑体" w:eastAsia="黑体"/>
          <w:b w:val="0"/>
        </w:rPr>
        <w:t xml:space="preserve"> </w:t>
      </w:r>
      <w:r>
        <w:rPr>
          <w:rStyle w:val="19"/>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spacing w:line="240" w:lineRule="auto"/>
        <w:rPr>
          <w:rStyle w:val="20"/>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20"/>
          <w:rFonts w:hint="eastAsia" w:ascii="黑体" w:hAnsi="黑体" w:eastAsia="黑体"/>
          <w:b w:val="0"/>
          <w:bCs w:val="0"/>
        </w:rPr>
        <w:t>本职能及主要工作</w:t>
      </w:r>
      <w:bookmarkEnd w:id="14"/>
      <w:bookmarkEnd w:id="15"/>
    </w:p>
    <w:p>
      <w:pPr>
        <w:pStyle w:val="5"/>
        <w:adjustRightInd w:val="0"/>
        <w:snapToGrid w:val="0"/>
        <w:spacing w:beforeLines="0" w:line="360" w:lineRule="auto"/>
        <w:ind w:firstLine="632" w:firstLineChars="200"/>
        <w:jc w:val="left"/>
        <w:rPr>
          <w:rFonts w:ascii="仿宋" w:hAnsi="仿宋" w:eastAsia="仿宋"/>
          <w:bCs/>
          <w:color w:val="000000"/>
          <w:sz w:val="32"/>
          <w:szCs w:val="32"/>
        </w:rPr>
      </w:pPr>
      <w:bookmarkStart w:id="16" w:name="_Toc15377198"/>
      <w:bookmarkStart w:id="17" w:name="_Toc15378445"/>
      <w:r>
        <w:rPr>
          <w:rFonts w:hint="eastAsia" w:ascii="仿宋" w:hAnsi="仿宋" w:eastAsia="仿宋"/>
          <w:bCs/>
          <w:color w:val="000000"/>
          <w:sz w:val="32"/>
          <w:szCs w:val="32"/>
        </w:rPr>
        <w:t>（一）主要职能。</w:t>
      </w:r>
      <w:bookmarkEnd w:id="16"/>
      <w:bookmarkEnd w:id="17"/>
    </w:p>
    <w:p>
      <w:pPr>
        <w:adjustRightInd w:val="0"/>
        <w:snapToGrid w:val="0"/>
        <w:spacing w:line="360" w:lineRule="auto"/>
        <w:ind w:firstLine="632" w:firstLineChars="200"/>
        <w:jc w:val="left"/>
        <w:rPr>
          <w:rFonts w:ascii="仿宋" w:hAnsi="仿宋" w:eastAsia="仿宋"/>
          <w:sz w:val="32"/>
          <w:szCs w:val="32"/>
        </w:rPr>
      </w:pPr>
      <w:r>
        <w:rPr>
          <w:rFonts w:hint="eastAsia" w:ascii="仿宋" w:hAnsi="仿宋" w:eastAsia="仿宋"/>
          <w:sz w:val="32"/>
          <w:szCs w:val="32"/>
        </w:rPr>
        <w:t>（1）承担全面依法治市重大问题的政策研究，协调有关方面提出全面依法治市规划建议，负责有关重大决策部署督察工作。</w:t>
      </w:r>
    </w:p>
    <w:p>
      <w:pPr>
        <w:adjustRightInd w:val="0"/>
        <w:snapToGrid w:val="0"/>
        <w:spacing w:line="360" w:lineRule="auto"/>
        <w:ind w:firstLine="632" w:firstLineChars="200"/>
        <w:jc w:val="left"/>
        <w:rPr>
          <w:rFonts w:ascii="仿宋" w:hAnsi="仿宋" w:eastAsia="仿宋"/>
          <w:sz w:val="32"/>
          <w:szCs w:val="32"/>
        </w:rPr>
      </w:pPr>
      <w:r>
        <w:rPr>
          <w:rFonts w:hint="eastAsia" w:ascii="仿宋" w:hAnsi="仿宋" w:eastAsia="仿宋"/>
          <w:sz w:val="32"/>
          <w:szCs w:val="32"/>
        </w:rPr>
        <w:t>（2）承担统筹规划行政立法工作的责任。协调有关方面提出行政立法规划和年度行政立法工作计划的建议，负责跟踪了解各部门对行政立法工作计划的落实情况，加强组织实施和督促指导，研究提出行政立法与改革决策相衔接的意见、措施。负责面向社会征集地方性法规、规章制定项目建议。</w:t>
      </w:r>
    </w:p>
    <w:p>
      <w:pPr>
        <w:adjustRightInd w:val="0"/>
        <w:snapToGrid w:val="0"/>
        <w:spacing w:line="360" w:lineRule="auto"/>
        <w:ind w:firstLine="632" w:firstLineChars="200"/>
        <w:jc w:val="left"/>
        <w:rPr>
          <w:rFonts w:ascii="仿宋" w:hAnsi="仿宋" w:eastAsia="仿宋"/>
          <w:sz w:val="32"/>
          <w:szCs w:val="32"/>
        </w:rPr>
      </w:pPr>
      <w:r>
        <w:rPr>
          <w:rFonts w:hint="eastAsia" w:ascii="仿宋" w:hAnsi="仿宋" w:eastAsia="仿宋"/>
          <w:sz w:val="32"/>
          <w:szCs w:val="32"/>
        </w:rPr>
        <w:t>（3）负责起草或者组织起草地方性法规、市政府规章草案。负责市政府各部门报送市政府的地方性法规、规章草案的审查工作。负责行政立法协调。</w:t>
      </w:r>
    </w:p>
    <w:p>
      <w:pPr>
        <w:adjustRightInd w:val="0"/>
        <w:snapToGrid w:val="0"/>
        <w:spacing w:line="360" w:lineRule="auto"/>
        <w:ind w:firstLine="632" w:firstLineChars="200"/>
        <w:jc w:val="left"/>
        <w:rPr>
          <w:rFonts w:ascii="仿宋" w:hAnsi="仿宋" w:eastAsia="仿宋"/>
          <w:sz w:val="32"/>
          <w:szCs w:val="32"/>
        </w:rPr>
      </w:pPr>
      <w:r>
        <w:rPr>
          <w:rFonts w:hint="eastAsia" w:ascii="仿宋" w:hAnsi="仿宋" w:eastAsia="仿宋"/>
          <w:sz w:val="32"/>
          <w:szCs w:val="32"/>
        </w:rPr>
        <w:t>（4）承担市政府规章的解释、行政立法后评估工作。负责协调各地、各部门实施法律、法规、规章中的有关争议和问题。承办市政府规章的清理、编纂、翻译工作。承办市政府规章报送备案工作。</w:t>
      </w:r>
    </w:p>
    <w:p>
      <w:pPr>
        <w:adjustRightInd w:val="0"/>
        <w:snapToGrid w:val="0"/>
        <w:spacing w:line="360" w:lineRule="auto"/>
        <w:ind w:firstLine="632" w:firstLineChars="200"/>
        <w:jc w:val="left"/>
        <w:rPr>
          <w:rFonts w:ascii="仿宋" w:hAnsi="仿宋" w:eastAsia="仿宋"/>
          <w:sz w:val="32"/>
          <w:szCs w:val="32"/>
        </w:rPr>
      </w:pPr>
      <w:r>
        <w:rPr>
          <w:rFonts w:hint="eastAsia" w:ascii="仿宋" w:hAnsi="仿宋" w:eastAsia="仿宋"/>
          <w:sz w:val="32"/>
          <w:szCs w:val="32"/>
        </w:rPr>
        <w:t>（5）负责市委、市政府规范性文件、重大行政决策发布前的合法性审查。承办市政府规范性文件的报送备案工作。负责各县（区）政府和市政府各部门规范性文件报送市政府的备案审查工作。组织开展规范性文件清理。负责市本级政府合同管理、市政府涉法事务处理。</w:t>
      </w:r>
    </w:p>
    <w:p>
      <w:pPr>
        <w:adjustRightInd w:val="0"/>
        <w:snapToGrid w:val="0"/>
        <w:spacing w:line="360" w:lineRule="auto"/>
        <w:ind w:firstLine="632" w:firstLineChars="200"/>
        <w:jc w:val="left"/>
        <w:rPr>
          <w:rFonts w:ascii="仿宋" w:hAnsi="仿宋" w:eastAsia="仿宋"/>
          <w:sz w:val="32"/>
          <w:szCs w:val="32"/>
        </w:rPr>
      </w:pPr>
      <w:r>
        <w:rPr>
          <w:rFonts w:hint="eastAsia" w:ascii="仿宋" w:hAnsi="仿宋" w:eastAsia="仿宋"/>
          <w:sz w:val="32"/>
          <w:szCs w:val="32"/>
        </w:rPr>
        <w:t>（6）承担统筹推进法治政府建设的责任。监督指导各县（区）政府、市政府各部门、市直园区管委会依法行政工作。负责综合协调、监督检查行政执法，承担推进行政执法体制改革有关工作，推进严格规范公正文明执法。指导监督全市行政复议、行政应诉和行政赔偿工作，承办向市政府申请的行政复议、行政赔偿案件，代理市政府行政应诉案件。</w:t>
      </w:r>
    </w:p>
    <w:p>
      <w:pPr>
        <w:adjustRightInd w:val="0"/>
        <w:snapToGrid w:val="0"/>
        <w:spacing w:line="360" w:lineRule="auto"/>
        <w:ind w:firstLine="632" w:firstLineChars="200"/>
        <w:jc w:val="left"/>
        <w:rPr>
          <w:rFonts w:ascii="仿宋" w:hAnsi="仿宋" w:eastAsia="仿宋"/>
          <w:sz w:val="32"/>
          <w:szCs w:val="32"/>
        </w:rPr>
      </w:pPr>
      <w:r>
        <w:rPr>
          <w:rFonts w:hint="eastAsia" w:ascii="仿宋" w:hAnsi="仿宋" w:eastAsia="仿宋"/>
          <w:sz w:val="32"/>
          <w:szCs w:val="32"/>
        </w:rPr>
        <w:t>（7）承担统筹规划法治社会建设的责任。负责拟订法治宣传教育规划，组织实施普法宣传，组织对外法治宣传。推动人民参与和促进法治建设。指导依法治理和法治创建工作。指导调解工作。负责并指导人民监督员的选任管理工作。指导监督人民陪审员选任工作。推进司法所建设。</w:t>
      </w:r>
    </w:p>
    <w:p>
      <w:pPr>
        <w:adjustRightInd w:val="0"/>
        <w:snapToGrid w:val="0"/>
        <w:spacing w:line="360" w:lineRule="auto"/>
        <w:ind w:firstLine="632" w:firstLineChars="200"/>
        <w:jc w:val="left"/>
        <w:rPr>
          <w:rFonts w:ascii="仿宋" w:hAnsi="仿宋" w:eastAsia="仿宋"/>
          <w:sz w:val="32"/>
          <w:szCs w:val="32"/>
        </w:rPr>
      </w:pPr>
      <w:r>
        <w:rPr>
          <w:rFonts w:hint="eastAsia" w:ascii="仿宋" w:hAnsi="仿宋" w:eastAsia="仿宋"/>
          <w:sz w:val="32"/>
          <w:szCs w:val="32"/>
        </w:rPr>
        <w:t>（8）指导管理社区矫正工作。指导刑满释放人员帮教安置工作。</w:t>
      </w:r>
    </w:p>
    <w:p>
      <w:pPr>
        <w:adjustRightInd w:val="0"/>
        <w:snapToGrid w:val="0"/>
        <w:spacing w:line="360" w:lineRule="auto"/>
        <w:ind w:firstLine="632" w:firstLineChars="200"/>
        <w:jc w:val="left"/>
        <w:rPr>
          <w:rFonts w:ascii="仿宋" w:hAnsi="仿宋" w:eastAsia="仿宋"/>
          <w:sz w:val="32"/>
          <w:szCs w:val="32"/>
        </w:rPr>
      </w:pPr>
      <w:r>
        <w:rPr>
          <w:rFonts w:hint="eastAsia" w:ascii="仿宋" w:hAnsi="仿宋" w:eastAsia="仿宋"/>
          <w:sz w:val="32"/>
          <w:szCs w:val="32"/>
        </w:rPr>
        <w:t>（9）负责全市司法行政戒毒管理工作。指导监督本系统强制隔离戒毒执行和戒毒康复工作。对社区戒毒和社区康复工作提供指导、支持和协助。</w:t>
      </w:r>
    </w:p>
    <w:p>
      <w:pPr>
        <w:adjustRightInd w:val="0"/>
        <w:snapToGrid w:val="0"/>
        <w:spacing w:line="360" w:lineRule="auto"/>
        <w:ind w:firstLine="632" w:firstLineChars="200"/>
        <w:jc w:val="left"/>
        <w:rPr>
          <w:rFonts w:ascii="仿宋" w:hAnsi="仿宋" w:eastAsia="仿宋"/>
          <w:sz w:val="32"/>
          <w:szCs w:val="32"/>
        </w:rPr>
      </w:pPr>
      <w:r>
        <w:rPr>
          <w:rFonts w:hint="eastAsia" w:ascii="仿宋" w:hAnsi="仿宋" w:eastAsia="仿宋"/>
          <w:sz w:val="32"/>
          <w:szCs w:val="32"/>
        </w:rPr>
        <w:t>（10）负责拟订全市公共法律服务体系建设规划并指导实施，统筹和布局全市城乡、区域法律服务资源。指导监督律师、法律援助、司法鉴定、公证、仲裁和基层法律服务工作。</w:t>
      </w:r>
    </w:p>
    <w:p>
      <w:pPr>
        <w:adjustRightInd w:val="0"/>
        <w:snapToGrid w:val="0"/>
        <w:spacing w:line="360" w:lineRule="auto"/>
        <w:ind w:firstLine="632" w:firstLineChars="200"/>
        <w:jc w:val="left"/>
        <w:rPr>
          <w:rFonts w:ascii="仿宋" w:hAnsi="仿宋" w:eastAsia="仿宋"/>
          <w:sz w:val="32"/>
          <w:szCs w:val="32"/>
        </w:rPr>
      </w:pPr>
      <w:r>
        <w:rPr>
          <w:rFonts w:hint="eastAsia" w:ascii="仿宋" w:hAnsi="仿宋" w:eastAsia="仿宋"/>
          <w:sz w:val="32"/>
          <w:szCs w:val="32"/>
        </w:rPr>
        <w:t>（11）负责全市国家统一法律职业资格考试的组织实施工作。负责全市国家统一法律职业资格管理工作。负责规划和指导法律职业人员入职前培训工作。</w:t>
      </w:r>
    </w:p>
    <w:p>
      <w:pPr>
        <w:adjustRightInd w:val="0"/>
        <w:snapToGrid w:val="0"/>
        <w:spacing w:line="360" w:lineRule="auto"/>
        <w:ind w:firstLine="632" w:firstLineChars="200"/>
        <w:jc w:val="left"/>
        <w:rPr>
          <w:rFonts w:ascii="仿宋" w:hAnsi="仿宋" w:eastAsia="仿宋"/>
          <w:sz w:val="32"/>
          <w:szCs w:val="32"/>
        </w:rPr>
      </w:pPr>
      <w:r>
        <w:rPr>
          <w:rFonts w:hint="eastAsia" w:ascii="仿宋" w:hAnsi="仿宋" w:eastAsia="仿宋"/>
          <w:sz w:val="32"/>
          <w:szCs w:val="32"/>
        </w:rPr>
        <w:t>（12）负责本系统服装和警车管理工作。指导监督本系统财务、装备、设施、场所等保障工作。</w:t>
      </w:r>
    </w:p>
    <w:p>
      <w:pPr>
        <w:adjustRightInd w:val="0"/>
        <w:snapToGrid w:val="0"/>
        <w:spacing w:line="360" w:lineRule="auto"/>
        <w:ind w:firstLine="632" w:firstLineChars="200"/>
        <w:jc w:val="left"/>
        <w:rPr>
          <w:rFonts w:ascii="仿宋" w:hAnsi="仿宋" w:eastAsia="仿宋"/>
          <w:sz w:val="32"/>
          <w:szCs w:val="32"/>
        </w:rPr>
      </w:pPr>
      <w:r>
        <w:rPr>
          <w:rFonts w:hint="eastAsia" w:ascii="仿宋" w:hAnsi="仿宋" w:eastAsia="仿宋"/>
          <w:sz w:val="32"/>
          <w:szCs w:val="32"/>
        </w:rPr>
        <w:t>（13）规划、协调、指导法治人才队伍建设相关工作，指导监督本系统队伍建设。协助县（区）管理司法局领导干部。</w:t>
      </w:r>
    </w:p>
    <w:p>
      <w:pPr>
        <w:adjustRightInd w:val="0"/>
        <w:snapToGrid w:val="0"/>
        <w:spacing w:line="360" w:lineRule="auto"/>
        <w:ind w:firstLine="632" w:firstLineChars="200"/>
        <w:jc w:val="left"/>
        <w:rPr>
          <w:rFonts w:ascii="仿宋" w:hAnsi="仿宋" w:eastAsia="仿宋"/>
          <w:sz w:val="32"/>
          <w:szCs w:val="32"/>
        </w:rPr>
      </w:pPr>
      <w:r>
        <w:rPr>
          <w:rFonts w:hint="eastAsia" w:ascii="仿宋" w:hAnsi="仿宋" w:eastAsia="仿宋"/>
          <w:sz w:val="32"/>
          <w:szCs w:val="32"/>
        </w:rPr>
        <w:t>（14）负责并指导本系统行政审批工作。负责全市外来企业涉及政务服务和行政执法方面的投诉处理。</w:t>
      </w:r>
    </w:p>
    <w:p>
      <w:pPr>
        <w:adjustRightInd w:val="0"/>
        <w:snapToGrid w:val="0"/>
        <w:spacing w:line="360" w:lineRule="auto"/>
        <w:ind w:firstLine="632" w:firstLineChars="200"/>
        <w:jc w:val="left"/>
        <w:rPr>
          <w:rFonts w:ascii="仿宋" w:hAnsi="仿宋" w:eastAsia="仿宋"/>
          <w:sz w:val="32"/>
          <w:szCs w:val="32"/>
        </w:rPr>
      </w:pPr>
      <w:r>
        <w:rPr>
          <w:rFonts w:hint="eastAsia" w:ascii="仿宋" w:hAnsi="仿宋" w:eastAsia="仿宋"/>
          <w:sz w:val="32"/>
          <w:szCs w:val="32"/>
        </w:rPr>
        <w:t>（15）负责职责范围内的安全生产和职业健康、生态环境保护、审批服务便民化等工作。</w:t>
      </w:r>
    </w:p>
    <w:p>
      <w:pPr>
        <w:adjustRightInd w:val="0"/>
        <w:snapToGrid w:val="0"/>
        <w:spacing w:line="360" w:lineRule="auto"/>
        <w:ind w:firstLine="632" w:firstLineChars="200"/>
        <w:jc w:val="left"/>
        <w:rPr>
          <w:rFonts w:ascii="仿宋" w:hAnsi="仿宋" w:eastAsia="仿宋"/>
          <w:sz w:val="32"/>
          <w:szCs w:val="32"/>
        </w:rPr>
      </w:pPr>
      <w:r>
        <w:rPr>
          <w:rFonts w:hint="eastAsia" w:ascii="仿宋" w:hAnsi="仿宋" w:eastAsia="仿宋"/>
          <w:sz w:val="32"/>
          <w:szCs w:val="32"/>
        </w:rPr>
        <w:t>（16）完成市委和市政府交办的其他任务。</w:t>
      </w:r>
    </w:p>
    <w:p>
      <w:pPr>
        <w:pStyle w:val="5"/>
        <w:adjustRightInd w:val="0"/>
        <w:snapToGrid w:val="0"/>
        <w:spacing w:beforeLines="0" w:line="360" w:lineRule="auto"/>
        <w:ind w:firstLine="632" w:firstLineChars="200"/>
        <w:jc w:val="left"/>
        <w:rPr>
          <w:rFonts w:ascii="仿宋" w:hAnsi="仿宋" w:eastAsia="仿宋"/>
          <w:bCs/>
          <w:color w:val="000000"/>
          <w:sz w:val="32"/>
          <w:szCs w:val="32"/>
        </w:rPr>
      </w:pPr>
      <w:bookmarkStart w:id="18" w:name="_Toc15377199"/>
      <w:bookmarkStart w:id="19" w:name="_Toc15378446"/>
      <w:r>
        <w:rPr>
          <w:rFonts w:hint="eastAsia" w:ascii="仿宋" w:hAnsi="仿宋" w:eastAsia="仿宋"/>
          <w:bCs/>
          <w:color w:val="000000"/>
          <w:sz w:val="32"/>
          <w:szCs w:val="32"/>
        </w:rPr>
        <w:t>（二）</w:t>
      </w:r>
      <w:r>
        <w:rPr>
          <w:rFonts w:ascii="仿宋" w:hAnsi="仿宋" w:eastAsia="仿宋"/>
          <w:bCs/>
          <w:color w:val="000000"/>
          <w:sz w:val="32"/>
          <w:szCs w:val="32"/>
        </w:rPr>
        <w:t>2018</w:t>
      </w:r>
      <w:r>
        <w:rPr>
          <w:rFonts w:hint="eastAsia" w:ascii="仿宋" w:hAnsi="仿宋" w:eastAsia="仿宋"/>
          <w:bCs/>
          <w:color w:val="000000"/>
          <w:sz w:val="32"/>
          <w:szCs w:val="32"/>
        </w:rPr>
        <w:t>年重点工作完成情况。</w:t>
      </w:r>
      <w:bookmarkEnd w:id="18"/>
      <w:bookmarkEnd w:id="19"/>
    </w:p>
    <w:p>
      <w:pPr>
        <w:adjustRightInd w:val="0"/>
        <w:snapToGrid w:val="0"/>
        <w:spacing w:line="360" w:lineRule="auto"/>
        <w:ind w:firstLine="632" w:firstLineChars="200"/>
        <w:jc w:val="left"/>
        <w:rPr>
          <w:rFonts w:ascii="仿宋" w:hAnsi="仿宋" w:eastAsia="仿宋"/>
          <w:sz w:val="32"/>
          <w:szCs w:val="32"/>
        </w:rPr>
      </w:pPr>
      <w:r>
        <w:rPr>
          <w:rFonts w:hint="eastAsia" w:ascii="仿宋" w:hAnsi="仿宋" w:eastAsia="仿宋"/>
          <w:bCs/>
          <w:sz w:val="32"/>
          <w:szCs w:val="32"/>
        </w:rPr>
        <w:t>一是</w:t>
      </w:r>
      <w:r>
        <w:rPr>
          <w:rFonts w:hint="eastAsia" w:ascii="仿宋" w:hAnsi="仿宋" w:eastAsia="仿宋"/>
          <w:sz w:val="32"/>
          <w:szCs w:val="32"/>
        </w:rPr>
        <w:t>聚焦四大关键抓普法，营造浓厚法治氛围</w:t>
      </w:r>
      <w:r>
        <w:rPr>
          <w:rFonts w:hint="eastAsia" w:ascii="仿宋" w:hAnsi="仿宋" w:eastAsia="仿宋"/>
          <w:bCs/>
          <w:sz w:val="32"/>
          <w:szCs w:val="32"/>
        </w:rPr>
        <w:t>。</w:t>
      </w:r>
      <w:r>
        <w:rPr>
          <w:rFonts w:hint="eastAsia" w:ascii="仿宋" w:hAnsi="仿宋" w:eastAsia="仿宋"/>
          <w:sz w:val="32"/>
          <w:szCs w:val="32"/>
        </w:rPr>
        <w:t>起草印发了《遂宁市法治宣传教育第七个五年规划（2016—2020年）》，筹备召开了 “遂宁市‘七五’普法动员暨‘法律七进’推进电视电话会议”，加大普法宣传力度</w:t>
      </w:r>
      <w:r>
        <w:rPr>
          <w:rFonts w:hint="eastAsia" w:ascii="仿宋" w:hAnsi="仿宋" w:eastAsia="仿宋"/>
          <w:bCs/>
          <w:sz w:val="32"/>
          <w:szCs w:val="32"/>
        </w:rPr>
        <w:t>；</w:t>
      </w:r>
      <w:r>
        <w:rPr>
          <w:rFonts w:hint="eastAsia" w:ascii="仿宋" w:hAnsi="仿宋" w:eastAsia="仿宋"/>
          <w:sz w:val="32"/>
          <w:szCs w:val="32"/>
        </w:rPr>
        <w:t>拓宽领域，加强普法阵地建设</w:t>
      </w:r>
      <w:r>
        <w:rPr>
          <w:rFonts w:hint="eastAsia" w:ascii="仿宋" w:hAnsi="仿宋" w:eastAsia="仿宋"/>
          <w:bCs/>
          <w:sz w:val="32"/>
          <w:szCs w:val="32"/>
        </w:rPr>
        <w:t>；</w:t>
      </w:r>
      <w:r>
        <w:rPr>
          <w:rFonts w:hint="eastAsia" w:ascii="仿宋" w:hAnsi="仿宋" w:eastAsia="仿宋"/>
          <w:sz w:val="32"/>
          <w:szCs w:val="32"/>
        </w:rPr>
        <w:t>落实责任，规范普法宣传制度</w:t>
      </w:r>
      <w:r>
        <w:rPr>
          <w:rFonts w:hint="eastAsia" w:ascii="仿宋" w:hAnsi="仿宋" w:eastAsia="仿宋"/>
          <w:bCs/>
          <w:sz w:val="32"/>
          <w:szCs w:val="32"/>
        </w:rPr>
        <w:t>。二是</w:t>
      </w:r>
      <w:r>
        <w:rPr>
          <w:rFonts w:hint="eastAsia" w:ascii="仿宋" w:hAnsi="仿宋" w:eastAsia="仿宋"/>
          <w:sz w:val="32"/>
          <w:szCs w:val="32"/>
        </w:rPr>
        <w:t>深化三项改革谋发展，做优法律援助，办好民生工程；做优律师公证，助力法律服务行业全面发展。</w:t>
      </w:r>
      <w:r>
        <w:rPr>
          <w:rFonts w:hint="eastAsia" w:ascii="仿宋" w:hAnsi="仿宋" w:eastAsia="仿宋"/>
          <w:bCs/>
          <w:sz w:val="32"/>
          <w:szCs w:val="32"/>
        </w:rPr>
        <w:t>三是</w:t>
      </w:r>
      <w:r>
        <w:rPr>
          <w:rFonts w:hint="eastAsia" w:ascii="仿宋" w:hAnsi="仿宋" w:eastAsia="仿宋"/>
          <w:sz w:val="32"/>
          <w:szCs w:val="32"/>
        </w:rPr>
        <w:t>加快司法所规范化建设步伐，制定出台了《关于加强遂宁市司法所规范化建设工作的实施方案》；切实有力推进人民调解。有力推动“公调对接”工作，印发了《关于建立完善人民调解与治安调解对接制度的实施方案》；健全完善社区矫正机制，完善“一对一”、“多帮一”的社区服刑人员日常帮教机制，建立“4+X”矫正小组，制定了《遂宁市社区服刑人员分类管理实施办法（试行）》，实施重点社区服刑人员由县级司法行政机关负责人和司法所长“定人包案”制度。</w:t>
      </w:r>
      <w:r>
        <w:rPr>
          <w:rFonts w:hint="eastAsia" w:ascii="仿宋" w:hAnsi="仿宋" w:eastAsia="仿宋"/>
          <w:bCs/>
          <w:sz w:val="32"/>
          <w:szCs w:val="32"/>
        </w:rPr>
        <w:t>四是</w:t>
      </w:r>
      <w:r>
        <w:rPr>
          <w:rFonts w:hint="eastAsia" w:ascii="仿宋" w:hAnsi="仿宋" w:eastAsia="仿宋"/>
          <w:sz w:val="32"/>
          <w:szCs w:val="32"/>
        </w:rPr>
        <w:t>全面抓好班子和队伍建设，工作作风不断优化；倾情开展“扶贫帮困”</w:t>
      </w:r>
      <w:r>
        <w:rPr>
          <w:rFonts w:hint="eastAsia" w:ascii="仿宋" w:hAnsi="仿宋" w:eastAsia="仿宋"/>
          <w:bCs/>
          <w:sz w:val="32"/>
          <w:szCs w:val="32"/>
        </w:rPr>
        <w:t>，</w:t>
      </w:r>
      <w:r>
        <w:rPr>
          <w:rFonts w:hint="eastAsia" w:ascii="仿宋" w:hAnsi="仿宋" w:eastAsia="仿宋"/>
          <w:sz w:val="32"/>
          <w:szCs w:val="32"/>
        </w:rPr>
        <w:t>大力推进信息化建设。</w:t>
      </w:r>
      <w:bookmarkStart w:id="20" w:name="_Toc15377200"/>
      <w:bookmarkStart w:id="21" w:name="_Toc15396601"/>
    </w:p>
    <w:p>
      <w:pPr>
        <w:ind w:firstLine="572" w:firstLineChars="181"/>
        <w:rPr>
          <w:rStyle w:val="20"/>
          <w:rFonts w:ascii="仿宋" w:hAnsi="仿宋" w:eastAsia="仿宋"/>
          <w:b w:val="0"/>
          <w:bCs w:val="0"/>
        </w:rPr>
      </w:pPr>
      <w:r>
        <w:rPr>
          <w:rFonts w:hint="eastAsia" w:ascii="黑体" w:eastAsia="黑体"/>
          <w:b/>
          <w:color w:val="000000"/>
          <w:sz w:val="32"/>
          <w:szCs w:val="32"/>
        </w:rPr>
        <w:t>二、</w:t>
      </w:r>
      <w:r>
        <w:rPr>
          <w:rFonts w:hint="eastAsia" w:ascii="黑体" w:hAnsi="黑体" w:eastAsia="黑体"/>
          <w:b/>
          <w:color w:val="000000"/>
          <w:sz w:val="32"/>
          <w:szCs w:val="32"/>
        </w:rPr>
        <w:t>机</w:t>
      </w:r>
      <w:r>
        <w:rPr>
          <w:rStyle w:val="20"/>
          <w:rFonts w:hint="eastAsia" w:ascii="黑体" w:hAnsi="黑体" w:eastAsia="黑体"/>
        </w:rPr>
        <w:t>构设置</w:t>
      </w:r>
      <w:bookmarkEnd w:id="20"/>
      <w:bookmarkEnd w:id="21"/>
    </w:p>
    <w:p>
      <w:pPr>
        <w:ind w:firstLine="790" w:firstLineChars="250"/>
        <w:rPr>
          <w:rFonts w:ascii="仿宋" w:hAnsi="仿宋" w:eastAsia="仿宋"/>
          <w:sz w:val="32"/>
          <w:szCs w:val="32"/>
        </w:rPr>
      </w:pPr>
      <w:r>
        <w:rPr>
          <w:rFonts w:hint="eastAsia" w:ascii="仿宋" w:hAnsi="仿宋" w:eastAsia="仿宋"/>
          <w:sz w:val="32"/>
          <w:szCs w:val="32"/>
        </w:rPr>
        <w:t>遂宁市司法局下属二级单位0个，其中行政单位0个，参照公务员法管理的事业单位</w:t>
      </w:r>
      <w:r>
        <w:rPr>
          <w:rFonts w:hint="eastAsia" w:ascii="仿宋" w:hAnsi="仿宋" w:eastAsia="仿宋"/>
          <w:bCs/>
          <w:sz w:val="32"/>
          <w:szCs w:val="32"/>
        </w:rPr>
        <w:t>0</w:t>
      </w:r>
      <w:r>
        <w:rPr>
          <w:rFonts w:hint="eastAsia" w:ascii="仿宋" w:hAnsi="仿宋" w:eastAsia="仿宋"/>
          <w:sz w:val="32"/>
          <w:szCs w:val="32"/>
        </w:rPr>
        <w:t>个，其他事业单位0个。</w:t>
      </w:r>
    </w:p>
    <w:p>
      <w:pPr>
        <w:pStyle w:val="5"/>
        <w:adjustRightInd w:val="0"/>
        <w:snapToGrid w:val="0"/>
        <w:spacing w:before="173"/>
        <w:ind w:firstLine="664" w:firstLineChars="210"/>
        <w:rPr>
          <w:rFonts w:ascii="仿宋" w:hAnsi="仿宋" w:eastAsia="仿宋"/>
          <w:color w:val="000000"/>
          <w:sz w:val="32"/>
          <w:szCs w:val="32"/>
        </w:rPr>
      </w:pPr>
      <w:r>
        <w:rPr>
          <w:rFonts w:hint="eastAsia" w:ascii="仿宋" w:hAnsi="仿宋" w:eastAsia="仿宋"/>
          <w:color w:val="000000"/>
          <w:sz w:val="32"/>
          <w:szCs w:val="32"/>
        </w:rPr>
        <w:t>无纳入市司法局</w:t>
      </w:r>
      <w:r>
        <w:rPr>
          <w:rFonts w:ascii="仿宋" w:hAnsi="仿宋" w:eastAsia="仿宋"/>
          <w:color w:val="000000"/>
          <w:sz w:val="32"/>
          <w:szCs w:val="32"/>
        </w:rPr>
        <w:t>2018</w:t>
      </w:r>
      <w:r>
        <w:rPr>
          <w:rFonts w:hint="eastAsia" w:ascii="仿宋" w:hAnsi="仿宋" w:eastAsia="仿宋"/>
          <w:color w:val="000000"/>
          <w:sz w:val="32"/>
          <w:szCs w:val="32"/>
        </w:rPr>
        <w:t>年度部门决算编制范围的二级预算单位。</w:t>
      </w:r>
    </w:p>
    <w:p>
      <w:pPr>
        <w:pStyle w:val="5"/>
        <w:adjustRightInd w:val="0"/>
        <w:snapToGrid w:val="0"/>
        <w:spacing w:before="173"/>
        <w:ind w:firstLine="664" w:firstLineChars="210"/>
        <w:rPr>
          <w:rFonts w:ascii="仿宋" w:hAnsi="仿宋" w:eastAsia="仿宋"/>
          <w:color w:val="000000"/>
          <w:sz w:val="32"/>
          <w:szCs w:val="32"/>
        </w:rPr>
      </w:pPr>
    </w:p>
    <w:p>
      <w:pPr>
        <w:pStyle w:val="5"/>
        <w:adjustRightInd w:val="0"/>
        <w:snapToGrid w:val="0"/>
        <w:spacing w:before="173"/>
        <w:ind w:firstLine="664" w:firstLineChars="210"/>
        <w:rPr>
          <w:rFonts w:ascii="仿宋" w:hAnsi="仿宋" w:eastAsia="仿宋"/>
          <w:color w:val="000000"/>
          <w:sz w:val="32"/>
          <w:szCs w:val="32"/>
        </w:rPr>
      </w:pPr>
    </w:p>
    <w:p>
      <w:pPr>
        <w:pStyle w:val="5"/>
        <w:adjustRightInd w:val="0"/>
        <w:snapToGrid w:val="0"/>
        <w:spacing w:before="173"/>
        <w:ind w:firstLine="664" w:firstLineChars="210"/>
        <w:rPr>
          <w:rFonts w:ascii="仿宋" w:hAnsi="仿宋" w:eastAsia="仿宋"/>
          <w:color w:val="000000"/>
          <w:sz w:val="32"/>
          <w:szCs w:val="32"/>
        </w:rPr>
      </w:pPr>
    </w:p>
    <w:p>
      <w:pPr>
        <w:pStyle w:val="5"/>
        <w:adjustRightInd w:val="0"/>
        <w:snapToGrid w:val="0"/>
        <w:spacing w:before="173"/>
        <w:ind w:firstLine="664" w:firstLineChars="210"/>
        <w:rPr>
          <w:rFonts w:ascii="仿宋" w:hAnsi="仿宋" w:eastAsia="仿宋"/>
          <w:color w:val="000000"/>
          <w:sz w:val="32"/>
          <w:szCs w:val="32"/>
        </w:rPr>
      </w:pPr>
    </w:p>
    <w:p>
      <w:pPr>
        <w:pStyle w:val="5"/>
        <w:adjustRightInd w:val="0"/>
        <w:snapToGrid w:val="0"/>
        <w:spacing w:before="173"/>
        <w:rPr>
          <w:rFonts w:ascii="仿宋" w:hAnsi="仿宋" w:eastAsia="仿宋"/>
          <w:color w:val="000000"/>
          <w:sz w:val="32"/>
          <w:szCs w:val="32"/>
        </w:rPr>
      </w:pPr>
    </w:p>
    <w:p>
      <w:pPr>
        <w:pStyle w:val="2"/>
        <w:spacing w:line="240" w:lineRule="auto"/>
        <w:ind w:right="440"/>
        <w:jc w:val="right"/>
        <w:rPr>
          <w:rStyle w:val="19"/>
          <w:rFonts w:ascii="黑体" w:hAnsi="黑体" w:eastAsia="黑体"/>
          <w:b w:val="0"/>
          <w:bCs w:val="0"/>
        </w:rPr>
      </w:pPr>
      <w:bookmarkStart w:id="22" w:name="_Toc15377204"/>
      <w:bookmarkStart w:id="23" w:name="_Toc15396602"/>
      <w:r>
        <w:rPr>
          <w:rFonts w:hint="eastAsia" w:ascii="黑体" w:hAnsi="黑体" w:eastAsia="黑体"/>
          <w:b w:val="0"/>
          <w:color w:val="000000"/>
        </w:rPr>
        <w:t>第二部分</w:t>
      </w:r>
      <w:r>
        <w:rPr>
          <w:rStyle w:val="19"/>
          <w:rFonts w:ascii="黑体" w:hAnsi="黑体" w:eastAsia="黑体"/>
          <w:b w:val="0"/>
          <w:bCs w:val="0"/>
        </w:rPr>
        <w:t>2018</w:t>
      </w:r>
      <w:r>
        <w:rPr>
          <w:rStyle w:val="19"/>
          <w:rFonts w:hint="eastAsia" w:ascii="黑体" w:hAnsi="黑体" w:eastAsia="黑体"/>
          <w:b w:val="0"/>
          <w:bCs w:val="0"/>
        </w:rPr>
        <w:t>年度部门决算情况说明</w:t>
      </w:r>
      <w:bookmarkEnd w:id="22"/>
      <w:bookmarkEnd w:id="23"/>
    </w:p>
    <w:p/>
    <w:p>
      <w:pPr>
        <w:pStyle w:val="29"/>
        <w:numPr>
          <w:ilvl w:val="0"/>
          <w:numId w:val="1"/>
        </w:numPr>
        <w:ind w:firstLineChars="0"/>
        <w:outlineLvl w:val="1"/>
        <w:rPr>
          <w:rStyle w:val="20"/>
          <w:rFonts w:ascii="黑体" w:hAnsi="黑体" w:eastAsia="黑体"/>
          <w:b w:val="0"/>
        </w:rPr>
      </w:pPr>
      <w:bookmarkStart w:id="24" w:name="_Toc15377205"/>
      <w:bookmarkStart w:id="25" w:name="_Toc15396603"/>
      <w:r>
        <w:rPr>
          <w:rFonts w:hint="eastAsia" w:ascii="黑体" w:hAnsi="黑体" w:eastAsia="黑体"/>
          <w:color w:val="000000"/>
          <w:sz w:val="32"/>
          <w:szCs w:val="32"/>
        </w:rPr>
        <w:t>收</w:t>
      </w:r>
      <w:r>
        <w:rPr>
          <w:rStyle w:val="20"/>
          <w:rFonts w:hint="eastAsia" w:ascii="黑体" w:hAnsi="黑体" w:eastAsia="黑体"/>
          <w:b w:val="0"/>
        </w:rPr>
        <w:t>入支出决算总体情况说明</w:t>
      </w:r>
      <w:bookmarkEnd w:id="24"/>
      <w:bookmarkEnd w:id="25"/>
    </w:p>
    <w:p>
      <w:pPr>
        <w:snapToGrid w:val="0"/>
        <w:ind w:firstLine="632" w:firstLineChars="200"/>
        <w:rPr>
          <w:rFonts w:ascii="仿宋_GB2312" w:hAnsi="宋体" w:eastAsia="仿宋_GB2312"/>
          <w:sz w:val="32"/>
          <w:szCs w:val="32"/>
        </w:rPr>
      </w:pPr>
      <w:r>
        <w:rPr>
          <w:rFonts w:ascii="仿宋" w:hAnsi="仿宋" w:eastAsia="仿宋"/>
          <w:color w:val="000000"/>
          <w:sz w:val="32"/>
          <w:szCs w:val="32"/>
        </w:rPr>
        <w:t>2018</w:t>
      </w:r>
      <w:r>
        <w:rPr>
          <w:rFonts w:hint="eastAsia" w:ascii="仿宋" w:hAnsi="仿宋" w:eastAsia="仿宋"/>
          <w:color w:val="000000"/>
          <w:sz w:val="32"/>
          <w:szCs w:val="32"/>
        </w:rPr>
        <w:t>年度收、支总计2066.09万元。与</w:t>
      </w:r>
      <w:r>
        <w:rPr>
          <w:rFonts w:ascii="仿宋" w:hAnsi="仿宋" w:eastAsia="仿宋"/>
          <w:color w:val="000000"/>
          <w:sz w:val="32"/>
          <w:szCs w:val="32"/>
        </w:rPr>
        <w:t>2017</w:t>
      </w:r>
      <w:r>
        <w:rPr>
          <w:rFonts w:hint="eastAsia" w:ascii="仿宋" w:hAnsi="仿宋" w:eastAsia="仿宋"/>
          <w:color w:val="000000"/>
          <w:sz w:val="32"/>
          <w:szCs w:val="32"/>
        </w:rPr>
        <w:t xml:space="preserve">年相比，收、支总计各增加339.57万元，上升16.44 </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_GB2312" w:hAnsi="宋体" w:eastAsia="仿宋_GB2312"/>
          <w:sz w:val="32"/>
          <w:szCs w:val="32"/>
        </w:rPr>
        <w:t>人员津补贴标准比去年提高，社保、医保经费增加以及</w:t>
      </w:r>
      <w:r>
        <w:rPr>
          <w:rFonts w:hint="eastAsia" w:ascii="仿宋_GB2312" w:eastAsia="仿宋_GB2312"/>
          <w:color w:val="000000"/>
          <w:sz w:val="32"/>
          <w:szCs w:val="32"/>
        </w:rPr>
        <w:t>工作范围和工作职能的增加</w:t>
      </w:r>
      <w:r>
        <w:rPr>
          <w:rFonts w:hint="eastAsia" w:ascii="仿宋_GB2312" w:hAnsi="宋体" w:eastAsia="仿宋_GB2312"/>
          <w:sz w:val="32"/>
          <w:szCs w:val="32"/>
        </w:rPr>
        <w:t>。</w:t>
      </w:r>
    </w:p>
    <w:p>
      <w:pPr>
        <w:ind w:firstLine="632"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1</w:t>
      </w:r>
      <w:r>
        <w:rPr>
          <w:rFonts w:hint="eastAsia" w:ascii="仿宋" w:hAnsi="仿宋" w:eastAsia="仿宋"/>
          <w:color w:val="000000"/>
          <w:sz w:val="32"/>
          <w:szCs w:val="32"/>
        </w:rPr>
        <w:t>：收、支决算总计变动情况图）（柱状图）</w:t>
      </w:r>
      <w:r>
        <w:rPr>
          <w:rFonts w:hint="eastAsia" w:ascii="仿宋_GB2312" w:eastAsia="仿宋_GB2312"/>
          <w:color w:val="000000"/>
          <w:sz w:val="32"/>
          <w:szCs w:val="32"/>
        </w:rPr>
        <w:drawing>
          <wp:inline distT="0" distB="0" distL="0" distR="0">
            <wp:extent cx="5591175" cy="3000375"/>
            <wp:effectExtent l="19050" t="0" r="9525"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29"/>
        <w:numPr>
          <w:ilvl w:val="0"/>
          <w:numId w:val="1"/>
        </w:numPr>
        <w:ind w:firstLineChars="0"/>
        <w:outlineLvl w:val="1"/>
        <w:rPr>
          <w:rStyle w:val="20"/>
          <w:rFonts w:ascii="黑体" w:hAnsi="黑体" w:eastAsia="黑体"/>
          <w:b w:val="0"/>
        </w:rPr>
      </w:pPr>
      <w:bookmarkStart w:id="26" w:name="_Toc15377206"/>
      <w:bookmarkStart w:id="27" w:name="_Toc15396604"/>
      <w:r>
        <w:rPr>
          <w:rFonts w:hint="eastAsia" w:ascii="黑体" w:hAnsi="黑体" w:eastAsia="黑体"/>
          <w:color w:val="000000"/>
          <w:sz w:val="32"/>
          <w:szCs w:val="32"/>
        </w:rPr>
        <w:t>收</w:t>
      </w:r>
      <w:r>
        <w:rPr>
          <w:rStyle w:val="20"/>
          <w:rFonts w:hint="eastAsia" w:ascii="黑体" w:hAnsi="黑体" w:eastAsia="黑体"/>
          <w:b w:val="0"/>
        </w:rPr>
        <w:t>入决算情况说明</w:t>
      </w:r>
      <w:bookmarkEnd w:id="26"/>
      <w:bookmarkEnd w:id="27"/>
    </w:p>
    <w:p>
      <w:pPr>
        <w:ind w:firstLine="632" w:firstLineChars="200"/>
        <w:outlineLvl w:val="1"/>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年本年收入合计1739.62万元，其中：一般公共预算财政拨款收入1441.44万元，占82.86</w:t>
      </w:r>
      <w:r>
        <w:rPr>
          <w:rFonts w:ascii="仿宋" w:hAnsi="仿宋" w:eastAsia="仿宋"/>
          <w:color w:val="000000"/>
          <w:sz w:val="32"/>
          <w:szCs w:val="32"/>
        </w:rPr>
        <w:t>%</w:t>
      </w:r>
      <w:r>
        <w:rPr>
          <w:rFonts w:hint="eastAsia" w:ascii="仿宋" w:hAnsi="仿宋" w:eastAsia="仿宋"/>
          <w:color w:val="000000"/>
          <w:sz w:val="32"/>
          <w:szCs w:val="32"/>
        </w:rPr>
        <w:t>；其他收入298.18万元，占17.14</w:t>
      </w:r>
      <w:r>
        <w:rPr>
          <w:rFonts w:ascii="仿宋" w:hAnsi="仿宋" w:eastAsia="仿宋"/>
          <w:color w:val="000000"/>
          <w:sz w:val="32"/>
          <w:szCs w:val="32"/>
        </w:rPr>
        <w:t>%</w:t>
      </w:r>
      <w:r>
        <w:rPr>
          <w:rFonts w:hint="eastAsia" w:ascii="仿宋" w:hAnsi="仿宋" w:eastAsia="仿宋"/>
          <w:color w:val="000000"/>
          <w:sz w:val="32"/>
          <w:szCs w:val="32"/>
        </w:rPr>
        <w:t>。</w:t>
      </w:r>
    </w:p>
    <w:p>
      <w:pPr>
        <w:ind w:firstLine="632"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2</w:t>
      </w:r>
      <w:r>
        <w:rPr>
          <w:rFonts w:hint="eastAsia" w:ascii="仿宋" w:hAnsi="仿宋" w:eastAsia="仿宋"/>
          <w:color w:val="000000"/>
          <w:sz w:val="32"/>
          <w:szCs w:val="32"/>
        </w:rPr>
        <w:t>：收入决算结构图）（饼状图）</w:t>
      </w:r>
    </w:p>
    <w:p>
      <w:pPr>
        <w:ind w:firstLine="632" w:firstLineChars="200"/>
        <w:rPr>
          <w:rFonts w:ascii="仿宋_GB2312" w:eastAsia="仿宋_GB2312"/>
          <w:color w:val="FF0000"/>
          <w:sz w:val="32"/>
          <w:szCs w:val="32"/>
        </w:rPr>
      </w:pPr>
    </w:p>
    <w:p>
      <w:pPr>
        <w:ind w:firstLine="632" w:firstLineChars="200"/>
        <w:rPr>
          <w:rFonts w:ascii="仿宋_GB2312" w:eastAsia="仿宋_GB2312"/>
          <w:color w:val="FF0000"/>
          <w:sz w:val="32"/>
          <w:szCs w:val="32"/>
        </w:rPr>
      </w:pPr>
    </w:p>
    <w:p>
      <w:pPr>
        <w:ind w:firstLine="632" w:firstLineChars="200"/>
        <w:rPr>
          <w:rFonts w:ascii="仿宋_GB2312" w:eastAsia="仿宋_GB2312"/>
          <w:color w:val="FF0000"/>
          <w:sz w:val="32"/>
          <w:szCs w:val="32"/>
        </w:rPr>
      </w:pPr>
      <w:r>
        <w:rPr>
          <w:rFonts w:hint="eastAsia" w:ascii="仿宋_GB2312" w:eastAsia="仿宋_GB2312"/>
          <w:color w:val="FF0000"/>
          <w:sz w:val="32"/>
          <w:szCs w:val="32"/>
        </w:rPr>
        <w:drawing>
          <wp:inline distT="0" distB="0" distL="0" distR="0">
            <wp:extent cx="4791075" cy="2095500"/>
            <wp:effectExtent l="19050" t="0" r="9525"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29"/>
        <w:numPr>
          <w:ilvl w:val="0"/>
          <w:numId w:val="1"/>
        </w:numPr>
        <w:ind w:firstLineChars="0"/>
        <w:outlineLvl w:val="1"/>
        <w:rPr>
          <w:rStyle w:val="20"/>
          <w:rFonts w:ascii="黑体" w:hAnsi="黑体" w:eastAsia="黑体"/>
          <w:b w:val="0"/>
        </w:rPr>
      </w:pPr>
      <w:bookmarkStart w:id="28" w:name="_Toc15396605"/>
      <w:bookmarkStart w:id="29" w:name="_Toc15377207"/>
      <w:r>
        <w:rPr>
          <w:rFonts w:hint="eastAsia" w:ascii="黑体" w:hAnsi="黑体" w:eastAsia="黑体"/>
          <w:color w:val="000000"/>
          <w:sz w:val="32"/>
          <w:szCs w:val="32"/>
        </w:rPr>
        <w:t>支</w:t>
      </w:r>
      <w:r>
        <w:rPr>
          <w:rStyle w:val="20"/>
          <w:rFonts w:hint="eastAsia" w:ascii="黑体" w:hAnsi="黑体" w:eastAsia="黑体"/>
          <w:b w:val="0"/>
        </w:rPr>
        <w:t>出决算情况说明</w:t>
      </w:r>
      <w:bookmarkEnd w:id="28"/>
      <w:bookmarkEnd w:id="29"/>
    </w:p>
    <w:p>
      <w:pPr>
        <w:ind w:firstLine="640"/>
        <w:rPr>
          <w:rFonts w:ascii="仿宋" w:hAnsi="仿宋" w:eastAsia="仿宋"/>
          <w:color w:val="000000"/>
          <w:sz w:val="32"/>
          <w:szCs w:val="32"/>
          <w:shd w:val="pct10" w:color="auto" w:fill="FFFFFF"/>
        </w:rPr>
      </w:pPr>
      <w:r>
        <w:rPr>
          <w:rFonts w:ascii="仿宋" w:hAnsi="仿宋" w:eastAsia="仿宋"/>
          <w:color w:val="000000"/>
          <w:sz w:val="32"/>
          <w:szCs w:val="32"/>
        </w:rPr>
        <w:t>2018</w:t>
      </w:r>
      <w:r>
        <w:rPr>
          <w:rFonts w:hint="eastAsia" w:ascii="仿宋" w:hAnsi="仿宋" w:eastAsia="仿宋"/>
          <w:color w:val="000000"/>
          <w:sz w:val="32"/>
          <w:szCs w:val="32"/>
        </w:rPr>
        <w:t>年本年支出合计1657.29万元，其中：基本支出1410.27万元，占85.09</w:t>
      </w:r>
      <w:r>
        <w:rPr>
          <w:rFonts w:ascii="仿宋" w:hAnsi="仿宋" w:eastAsia="仿宋"/>
          <w:color w:val="000000"/>
          <w:sz w:val="32"/>
          <w:szCs w:val="32"/>
        </w:rPr>
        <w:t>%</w:t>
      </w:r>
      <w:r>
        <w:rPr>
          <w:rFonts w:hint="eastAsia" w:ascii="仿宋" w:hAnsi="仿宋" w:eastAsia="仿宋"/>
          <w:color w:val="000000"/>
          <w:sz w:val="32"/>
          <w:szCs w:val="32"/>
        </w:rPr>
        <w:t>；项目支出247.02万元，占14.91</w:t>
      </w:r>
      <w:r>
        <w:rPr>
          <w:rFonts w:ascii="仿宋" w:hAnsi="仿宋" w:eastAsia="仿宋"/>
          <w:color w:val="000000"/>
          <w:sz w:val="32"/>
          <w:szCs w:val="32"/>
        </w:rPr>
        <w:t>%</w:t>
      </w:r>
      <w:r>
        <w:rPr>
          <w:rFonts w:hint="eastAsia" w:ascii="仿宋" w:hAnsi="仿宋" w:eastAsia="仿宋"/>
          <w:color w:val="000000"/>
          <w:sz w:val="32"/>
          <w:szCs w:val="32"/>
        </w:rPr>
        <w:t>；上缴上级支出0万元，占0</w:t>
      </w:r>
      <w:r>
        <w:rPr>
          <w:rFonts w:ascii="仿宋" w:hAnsi="仿宋" w:eastAsia="仿宋"/>
          <w:color w:val="000000"/>
          <w:sz w:val="32"/>
          <w:szCs w:val="32"/>
        </w:rPr>
        <w:t>%</w:t>
      </w:r>
      <w:r>
        <w:rPr>
          <w:rFonts w:hint="eastAsia" w:ascii="仿宋" w:hAnsi="仿宋" w:eastAsia="仿宋"/>
          <w:color w:val="000000"/>
          <w:sz w:val="32"/>
          <w:szCs w:val="32"/>
        </w:rPr>
        <w:t>；经营支出0万元，占0</w:t>
      </w:r>
      <w:r>
        <w:rPr>
          <w:rFonts w:ascii="仿宋" w:hAnsi="仿宋" w:eastAsia="仿宋"/>
          <w:color w:val="000000"/>
          <w:sz w:val="32"/>
          <w:szCs w:val="32"/>
        </w:rPr>
        <w:t>%</w:t>
      </w:r>
      <w:r>
        <w:rPr>
          <w:rFonts w:hint="eastAsia" w:ascii="仿宋" w:hAnsi="仿宋" w:eastAsia="仿宋"/>
          <w:color w:val="000000"/>
          <w:sz w:val="32"/>
          <w:szCs w:val="32"/>
        </w:rPr>
        <w:t>；对附属单位补助支出0万元，占0</w:t>
      </w:r>
      <w:r>
        <w:rPr>
          <w:rFonts w:ascii="仿宋" w:hAnsi="仿宋" w:eastAsia="仿宋"/>
          <w:color w:val="000000"/>
          <w:sz w:val="32"/>
          <w:szCs w:val="32"/>
        </w:rPr>
        <w:t>%</w:t>
      </w:r>
      <w:r>
        <w:rPr>
          <w:rFonts w:hint="eastAsia" w:ascii="仿宋" w:hAnsi="仿宋" w:eastAsia="仿宋"/>
          <w:color w:val="000000"/>
          <w:sz w:val="32"/>
          <w:szCs w:val="32"/>
        </w:rPr>
        <w:t>。</w:t>
      </w:r>
    </w:p>
    <w:p>
      <w:pPr>
        <w:ind w:firstLine="632"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：支出决算结构图）（饼状图）</w:t>
      </w:r>
    </w:p>
    <w:p>
      <w:pPr>
        <w:ind w:firstLine="632" w:firstLineChars="200"/>
        <w:rPr>
          <w:rFonts w:ascii="仿宋" w:hAnsi="仿宋" w:eastAsia="仿宋"/>
          <w:color w:val="000000"/>
          <w:sz w:val="32"/>
          <w:szCs w:val="32"/>
        </w:rPr>
      </w:pPr>
      <w:r>
        <w:rPr>
          <w:rFonts w:ascii="仿宋" w:hAnsi="仿宋" w:eastAsia="仿宋"/>
          <w:color w:val="000000"/>
          <w:sz w:val="32"/>
          <w:szCs w:val="32"/>
        </w:rPr>
        <w:drawing>
          <wp:inline distT="0" distB="0" distL="0" distR="0">
            <wp:extent cx="4848225" cy="2343150"/>
            <wp:effectExtent l="19050" t="0" r="9525"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ind w:firstLine="632" w:firstLineChars="200"/>
        <w:outlineLvl w:val="1"/>
        <w:rPr>
          <w:rStyle w:val="20"/>
          <w:rFonts w:ascii="黑体" w:hAnsi="黑体" w:eastAsia="黑体"/>
          <w:b w:val="0"/>
        </w:rPr>
      </w:pPr>
      <w:bookmarkStart w:id="30" w:name="_Toc15377208"/>
      <w:bookmarkStart w:id="31" w:name="_Toc15396606"/>
      <w:r>
        <w:rPr>
          <w:rFonts w:hint="eastAsia" w:ascii="黑体" w:hAnsi="黑体" w:eastAsia="黑体"/>
          <w:color w:val="000000"/>
          <w:sz w:val="32"/>
          <w:szCs w:val="32"/>
        </w:rPr>
        <w:t>四、财</w:t>
      </w:r>
      <w:r>
        <w:rPr>
          <w:rStyle w:val="20"/>
          <w:rFonts w:hint="eastAsia" w:ascii="黑体" w:hAnsi="黑体" w:eastAsia="黑体"/>
          <w:b w:val="0"/>
        </w:rPr>
        <w:t>政拨款收入支出决算总体情况说明</w:t>
      </w:r>
      <w:bookmarkEnd w:id="30"/>
      <w:bookmarkEnd w:id="31"/>
    </w:p>
    <w:p>
      <w:pPr>
        <w:spacing w:line="600" w:lineRule="exact"/>
        <w:ind w:firstLine="640"/>
        <w:rPr>
          <w:rFonts w:eastAsia="仿宋_GB2312"/>
          <w:color w:val="000000"/>
          <w:sz w:val="32"/>
        </w:rPr>
      </w:pPr>
      <w:r>
        <w:rPr>
          <w:rFonts w:ascii="仿宋" w:hAnsi="仿宋" w:eastAsia="仿宋"/>
          <w:color w:val="000000"/>
          <w:sz w:val="32"/>
          <w:szCs w:val="32"/>
        </w:rPr>
        <w:t>2018</w:t>
      </w:r>
      <w:r>
        <w:rPr>
          <w:rFonts w:hint="eastAsia" w:ascii="仿宋" w:hAnsi="仿宋" w:eastAsia="仿宋"/>
          <w:color w:val="000000"/>
          <w:sz w:val="32"/>
          <w:szCs w:val="32"/>
        </w:rPr>
        <w:t>年财政拨款收、支总计1767.92万元。与</w:t>
      </w:r>
      <w:r>
        <w:rPr>
          <w:rFonts w:ascii="仿宋" w:hAnsi="仿宋" w:eastAsia="仿宋"/>
          <w:color w:val="000000"/>
          <w:sz w:val="32"/>
          <w:szCs w:val="32"/>
        </w:rPr>
        <w:t>2017</w:t>
      </w:r>
      <w:r>
        <w:rPr>
          <w:rFonts w:hint="eastAsia" w:ascii="仿宋" w:hAnsi="仿宋" w:eastAsia="仿宋"/>
          <w:color w:val="000000"/>
          <w:sz w:val="32"/>
          <w:szCs w:val="32"/>
        </w:rPr>
        <w:t>年相比，财政拨款收、支总计各增加58.15万元，增长3.29</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eastAsia="仿宋_GB2312"/>
          <w:color w:val="000000"/>
          <w:sz w:val="32"/>
        </w:rPr>
        <w:t>单位职工的工资福利支出、对个人和家庭的补助支出增加。</w:t>
      </w:r>
    </w:p>
    <w:p>
      <w:pPr>
        <w:ind w:firstLine="632"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4</w:t>
      </w:r>
      <w:r>
        <w:rPr>
          <w:rFonts w:hint="eastAsia" w:ascii="仿宋" w:hAnsi="仿宋" w:eastAsia="仿宋"/>
          <w:color w:val="000000"/>
          <w:sz w:val="32"/>
          <w:szCs w:val="32"/>
        </w:rPr>
        <w:t>：财政拨款收、支决算总计变动情况）（柱状图）</w:t>
      </w:r>
    </w:p>
    <w:p>
      <w:pPr>
        <w:ind w:firstLine="640"/>
        <w:rPr>
          <w:rFonts w:ascii="仿宋" w:hAnsi="仿宋" w:eastAsia="仿宋"/>
          <w:b/>
          <w:color w:val="00B050"/>
          <w:sz w:val="32"/>
          <w:szCs w:val="32"/>
        </w:rPr>
      </w:pPr>
      <w:r>
        <w:rPr>
          <w:rFonts w:hint="eastAsia" w:ascii="仿宋" w:hAnsi="仿宋" w:eastAsia="仿宋"/>
          <w:b/>
          <w:color w:val="00B050"/>
          <w:sz w:val="32"/>
          <w:szCs w:val="32"/>
        </w:rPr>
        <w:drawing>
          <wp:inline distT="0" distB="0" distL="0" distR="0">
            <wp:extent cx="4791075" cy="2419350"/>
            <wp:effectExtent l="19050" t="0" r="9525"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ind w:firstLine="632" w:firstLineChars="200"/>
        <w:outlineLvl w:val="1"/>
        <w:rPr>
          <w:rStyle w:val="20"/>
          <w:rFonts w:ascii="黑体" w:hAnsi="黑体" w:eastAsia="黑体"/>
          <w:b w:val="0"/>
        </w:rPr>
      </w:pPr>
      <w:bookmarkStart w:id="32" w:name="_Toc15377209"/>
      <w:bookmarkStart w:id="33"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0"/>
          <w:rFonts w:hint="eastAsia" w:ascii="黑体" w:hAnsi="黑体" w:eastAsia="黑体"/>
          <w:b w:val="0"/>
        </w:rPr>
        <w:t>般公共预算财政拨款支出决算情况说明</w:t>
      </w:r>
      <w:bookmarkEnd w:id="32"/>
      <w:bookmarkEnd w:id="33"/>
    </w:p>
    <w:p>
      <w:pPr>
        <w:ind w:firstLine="632"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ind w:firstLine="632" w:firstLineChars="20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年一般公共预算财政拨款支出1359.11万元，占本年支出合计的82.01</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2017</w:t>
      </w:r>
      <w:r>
        <w:rPr>
          <w:rFonts w:hint="eastAsia" w:ascii="仿宋" w:hAnsi="仿宋" w:eastAsia="仿宋"/>
          <w:color w:val="000000"/>
          <w:sz w:val="32"/>
          <w:szCs w:val="32"/>
        </w:rPr>
        <w:t>年相比，一般公共预算财政拨款增加5.93万元，增长0.04</w:t>
      </w:r>
      <w:r>
        <w:rPr>
          <w:rFonts w:ascii="仿宋" w:hAnsi="仿宋" w:eastAsia="仿宋"/>
          <w:color w:val="000000"/>
          <w:sz w:val="32"/>
          <w:szCs w:val="32"/>
        </w:rPr>
        <w:t>%</w:t>
      </w:r>
      <w:r>
        <w:rPr>
          <w:rFonts w:hint="eastAsia" w:ascii="仿宋" w:hAnsi="仿宋" w:eastAsia="仿宋"/>
          <w:color w:val="000000"/>
          <w:sz w:val="32"/>
          <w:szCs w:val="32"/>
        </w:rPr>
        <w:t>。主要变动原因是两年财政拨款支出决算变动不大，财政经费预算开支把控严格。</w:t>
      </w:r>
    </w:p>
    <w:p>
      <w:pPr>
        <w:ind w:firstLine="632"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5</w:t>
      </w:r>
      <w:r>
        <w:rPr>
          <w:rFonts w:hint="eastAsia" w:ascii="仿宋" w:hAnsi="仿宋" w:eastAsia="仿宋"/>
          <w:color w:val="000000"/>
          <w:sz w:val="32"/>
          <w:szCs w:val="32"/>
        </w:rPr>
        <w:t>：一般公共预算财政拨款支出决算变动情况）（柱状图）</w:t>
      </w:r>
    </w:p>
    <w:p>
      <w:pPr>
        <w:ind w:firstLine="632" w:firstLineChars="200"/>
        <w:rPr>
          <w:rFonts w:ascii="仿宋" w:hAnsi="仿宋" w:eastAsia="仿宋"/>
          <w:color w:val="000000"/>
          <w:sz w:val="32"/>
          <w:szCs w:val="32"/>
        </w:rPr>
      </w:pPr>
      <w:r>
        <w:rPr>
          <w:rFonts w:hint="eastAsia" w:ascii="仿宋" w:hAnsi="仿宋" w:eastAsia="仿宋"/>
          <w:color w:val="000000"/>
          <w:sz w:val="32"/>
          <w:szCs w:val="32"/>
        </w:rPr>
        <w:drawing>
          <wp:inline distT="0" distB="0" distL="0" distR="0">
            <wp:extent cx="5153025" cy="2514600"/>
            <wp:effectExtent l="19050" t="0" r="9525" b="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ind w:firstLine="632"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pPr>
        <w:ind w:firstLine="64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年一般公共预算财政拨款支出1359.11万元，主要用于以下方面</w:t>
      </w:r>
      <w:r>
        <w:rPr>
          <w:rFonts w:ascii="仿宋" w:hAnsi="仿宋" w:eastAsia="仿宋"/>
          <w:color w:val="000000"/>
          <w:sz w:val="32"/>
          <w:szCs w:val="32"/>
        </w:rPr>
        <w:t>:</w:t>
      </w:r>
      <w:r>
        <w:rPr>
          <w:rFonts w:hint="eastAsia" w:ascii="仿宋" w:hAnsi="仿宋" w:eastAsia="仿宋"/>
          <w:color w:val="000000"/>
          <w:sz w:val="32"/>
          <w:szCs w:val="32"/>
        </w:rPr>
        <w:t>公共安全（类）支出1146.78万元，占84.38</w:t>
      </w:r>
      <w:r>
        <w:rPr>
          <w:rFonts w:ascii="仿宋" w:hAnsi="仿宋" w:eastAsia="仿宋"/>
          <w:color w:val="000000"/>
          <w:sz w:val="32"/>
          <w:szCs w:val="32"/>
        </w:rPr>
        <w:t>%</w:t>
      </w:r>
      <w:r>
        <w:rPr>
          <w:rFonts w:hint="eastAsia" w:ascii="仿宋" w:hAnsi="仿宋" w:eastAsia="仿宋"/>
          <w:color w:val="000000"/>
          <w:sz w:val="32"/>
          <w:szCs w:val="32"/>
        </w:rPr>
        <w:t>；社会保障和就业（类）支出100.58万元，占7.41</w:t>
      </w:r>
      <w:r>
        <w:rPr>
          <w:rFonts w:ascii="仿宋" w:hAnsi="仿宋" w:eastAsia="仿宋"/>
          <w:color w:val="000000"/>
          <w:sz w:val="32"/>
          <w:szCs w:val="32"/>
        </w:rPr>
        <w:t>%</w:t>
      </w:r>
      <w:r>
        <w:rPr>
          <w:rFonts w:hint="eastAsia" w:ascii="仿宋" w:hAnsi="仿宋" w:eastAsia="仿宋"/>
          <w:color w:val="000000"/>
          <w:sz w:val="32"/>
          <w:szCs w:val="32"/>
        </w:rPr>
        <w:t>；医疗卫生与计划生育支出37.66万元，占2.78</w:t>
      </w:r>
      <w:r>
        <w:rPr>
          <w:rFonts w:ascii="仿宋" w:hAnsi="仿宋" w:eastAsia="仿宋"/>
          <w:color w:val="000000"/>
          <w:sz w:val="32"/>
          <w:szCs w:val="32"/>
        </w:rPr>
        <w:t>%</w:t>
      </w:r>
      <w:r>
        <w:rPr>
          <w:rFonts w:hint="eastAsia" w:ascii="仿宋" w:hAnsi="仿宋" w:eastAsia="仿宋"/>
          <w:color w:val="000000"/>
          <w:sz w:val="32"/>
          <w:szCs w:val="32"/>
        </w:rPr>
        <w:t>；住房保障支出74.09万元，占5.45</w:t>
      </w:r>
      <w:r>
        <w:rPr>
          <w:rFonts w:ascii="仿宋" w:hAnsi="仿宋" w:eastAsia="仿宋"/>
          <w:color w:val="000000"/>
          <w:sz w:val="32"/>
          <w:szCs w:val="32"/>
        </w:rPr>
        <w:t>%</w:t>
      </w:r>
      <w:r>
        <w:rPr>
          <w:rFonts w:hint="eastAsia" w:ascii="仿宋" w:hAnsi="仿宋" w:eastAsia="仿宋"/>
          <w:color w:val="000000"/>
          <w:sz w:val="32"/>
          <w:szCs w:val="32"/>
        </w:rPr>
        <w:t>。</w:t>
      </w:r>
    </w:p>
    <w:p>
      <w:pPr>
        <w:ind w:firstLine="632"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6</w:t>
      </w:r>
      <w:r>
        <w:rPr>
          <w:rFonts w:hint="eastAsia" w:ascii="仿宋" w:hAnsi="仿宋" w:eastAsia="仿宋"/>
          <w:color w:val="000000"/>
          <w:sz w:val="32"/>
          <w:szCs w:val="32"/>
        </w:rPr>
        <w:t>：一般公共预算财政拨款支出决算结构）（饼状图）</w:t>
      </w:r>
    </w:p>
    <w:p>
      <w:pPr>
        <w:ind w:firstLine="632" w:firstLineChars="200"/>
        <w:rPr>
          <w:rFonts w:ascii="仿宋" w:hAnsi="仿宋" w:eastAsia="仿宋"/>
          <w:color w:val="000000"/>
          <w:sz w:val="32"/>
          <w:szCs w:val="32"/>
        </w:rPr>
      </w:pPr>
      <w:r>
        <w:rPr>
          <w:rFonts w:hint="eastAsia" w:ascii="仿宋" w:hAnsi="仿宋" w:eastAsia="仿宋"/>
          <w:color w:val="000000"/>
          <w:sz w:val="32"/>
          <w:szCs w:val="32"/>
        </w:rPr>
        <w:drawing>
          <wp:inline distT="0" distB="0" distL="0" distR="0">
            <wp:extent cx="5257800" cy="2476500"/>
            <wp:effectExtent l="19050" t="0" r="19050" b="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ind w:firstLine="632"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pPr>
        <w:ind w:firstLine="632" w:firstLineChars="200"/>
        <w:outlineLvl w:val="2"/>
        <w:rPr>
          <w:rFonts w:ascii="仿宋" w:hAnsi="仿宋" w:eastAsia="仿宋"/>
          <w:color w:val="FF0000"/>
          <w:sz w:val="32"/>
          <w:szCs w:val="32"/>
        </w:rPr>
      </w:pPr>
      <w:bookmarkStart w:id="37" w:name="_Toc15377213"/>
      <w:bookmarkStart w:id="38" w:name="_Toc15377444"/>
      <w:bookmarkStart w:id="39" w:name="_Toc15378460"/>
      <w:r>
        <w:rPr>
          <w:rFonts w:ascii="仿宋" w:hAnsi="仿宋" w:eastAsia="仿宋"/>
          <w:b/>
          <w:color w:val="000000"/>
          <w:sz w:val="32"/>
          <w:szCs w:val="32"/>
        </w:rPr>
        <w:t>2018</w:t>
      </w:r>
      <w:r>
        <w:rPr>
          <w:rFonts w:hint="eastAsia" w:ascii="仿宋" w:hAnsi="仿宋" w:eastAsia="仿宋"/>
          <w:b/>
          <w:color w:val="000000"/>
          <w:sz w:val="32"/>
          <w:szCs w:val="32"/>
        </w:rPr>
        <w:t>年一般公共预算支出决算数为1359.11</w:t>
      </w:r>
      <w:r>
        <w:rPr>
          <w:rFonts w:hint="eastAsia" w:ascii="仿宋" w:hAnsi="仿宋" w:eastAsia="仿宋"/>
          <w:color w:val="000000"/>
          <w:sz w:val="32"/>
          <w:szCs w:val="32"/>
        </w:rPr>
        <w:t>，</w:t>
      </w:r>
      <w:r>
        <w:rPr>
          <w:rStyle w:val="16"/>
          <w:rFonts w:hint="eastAsia" w:ascii="仿宋" w:hAnsi="仿宋" w:eastAsia="仿宋"/>
          <w:bCs/>
          <w:color w:val="000000"/>
          <w:sz w:val="32"/>
          <w:szCs w:val="32"/>
        </w:rPr>
        <w:t>完成预算100</w:t>
      </w:r>
      <w:r>
        <w:rPr>
          <w:rStyle w:val="16"/>
          <w:rFonts w:ascii="仿宋" w:hAnsi="仿宋" w:eastAsia="仿宋"/>
          <w:bCs/>
          <w:color w:val="000000"/>
          <w:sz w:val="32"/>
          <w:szCs w:val="32"/>
        </w:rPr>
        <w:t>%</w:t>
      </w:r>
      <w:r>
        <w:rPr>
          <w:rStyle w:val="16"/>
          <w:rFonts w:hint="eastAsia" w:ascii="仿宋" w:hAnsi="仿宋" w:eastAsia="仿宋"/>
          <w:bCs/>
          <w:color w:val="000000"/>
          <w:sz w:val="32"/>
          <w:szCs w:val="32"/>
        </w:rPr>
        <w:t>。其中：</w:t>
      </w:r>
      <w:bookmarkEnd w:id="37"/>
      <w:bookmarkEnd w:id="38"/>
      <w:bookmarkEnd w:id="39"/>
    </w:p>
    <w:p>
      <w:pPr>
        <w:ind w:firstLine="632" w:firstLineChars="200"/>
        <w:rPr>
          <w:rFonts w:ascii="仿宋" w:hAnsi="仿宋" w:eastAsia="仿宋"/>
          <w:b/>
          <w:color w:val="000000"/>
          <w:sz w:val="32"/>
          <w:szCs w:val="32"/>
        </w:rPr>
      </w:pPr>
      <w:r>
        <w:rPr>
          <w:rStyle w:val="16"/>
          <w:rFonts w:ascii="仿宋" w:hAnsi="仿宋" w:eastAsia="仿宋"/>
          <w:bCs/>
          <w:color w:val="000000"/>
          <w:sz w:val="32"/>
          <w:szCs w:val="32"/>
        </w:rPr>
        <w:t>1.</w:t>
      </w:r>
      <w:r>
        <w:rPr>
          <w:rFonts w:hint="eastAsia" w:ascii="黑体" w:hAnsi="黑体" w:eastAsia="黑体"/>
          <w:b/>
          <w:sz w:val="32"/>
        </w:rPr>
        <w:t xml:space="preserve"> </w:t>
      </w:r>
      <w:r>
        <w:rPr>
          <w:rFonts w:hint="eastAsia" w:ascii="仿宋_GB2312" w:hAnsi="黑体" w:eastAsia="仿宋_GB2312"/>
          <w:b/>
          <w:sz w:val="32"/>
        </w:rPr>
        <w:t>公共安全（类）司法（款）行政运行（项）</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w:t>
      </w:r>
      <w:r>
        <w:rPr>
          <w:rFonts w:hint="eastAsia" w:ascii="仿宋" w:hAnsi="仿宋" w:eastAsia="仿宋"/>
          <w:color w:val="000000"/>
          <w:sz w:val="32"/>
          <w:szCs w:val="32"/>
        </w:rPr>
        <w:t>912.65</w:t>
      </w:r>
      <w:r>
        <w:rPr>
          <w:rStyle w:val="16"/>
          <w:rFonts w:hint="eastAsia" w:ascii="仿宋" w:hAnsi="仿宋" w:eastAsia="仿宋"/>
          <w:b w:val="0"/>
          <w:bCs/>
          <w:color w:val="000000"/>
          <w:sz w:val="32"/>
          <w:szCs w:val="32"/>
        </w:rPr>
        <w:t>万元，完成预算100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pPr>
        <w:ind w:firstLine="632" w:firstLineChars="200"/>
        <w:rPr>
          <w:rFonts w:ascii="仿宋" w:hAnsi="仿宋" w:eastAsia="仿宋"/>
          <w:b/>
          <w:color w:val="000000"/>
          <w:sz w:val="32"/>
          <w:szCs w:val="32"/>
        </w:rPr>
      </w:pPr>
      <w:r>
        <w:rPr>
          <w:rStyle w:val="16"/>
          <w:rFonts w:ascii="仿宋" w:hAnsi="仿宋" w:eastAsia="仿宋"/>
          <w:bCs/>
          <w:color w:val="000000"/>
          <w:sz w:val="32"/>
          <w:szCs w:val="32"/>
        </w:rPr>
        <w:t>2.</w:t>
      </w:r>
      <w:r>
        <w:rPr>
          <w:rFonts w:ascii="仿宋_GB2312" w:hAnsi="Calibri" w:eastAsia="仿宋_GB2312"/>
          <w:b/>
          <w:color w:val="000000"/>
          <w:sz w:val="32"/>
        </w:rPr>
        <w:t xml:space="preserve"> </w:t>
      </w:r>
      <w:r>
        <w:rPr>
          <w:rFonts w:hint="eastAsia" w:ascii="仿宋_GB2312" w:hAnsi="黑体" w:eastAsia="仿宋_GB2312"/>
          <w:b/>
          <w:sz w:val="32"/>
        </w:rPr>
        <w:t>公共安全（类）司法（款）一般行政管理事务（项）</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支出决算为117.51万元，完成预算100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pPr>
        <w:ind w:firstLine="632" w:firstLineChars="200"/>
        <w:rPr>
          <w:rFonts w:ascii="仿宋" w:hAnsi="仿宋" w:eastAsia="仿宋"/>
          <w:b/>
          <w:color w:val="000000"/>
          <w:sz w:val="32"/>
          <w:szCs w:val="32"/>
        </w:rPr>
      </w:pPr>
      <w:r>
        <w:rPr>
          <w:rStyle w:val="16"/>
          <w:rFonts w:ascii="仿宋" w:hAnsi="仿宋" w:eastAsia="仿宋"/>
          <w:bCs/>
          <w:color w:val="000000"/>
          <w:sz w:val="32"/>
          <w:szCs w:val="32"/>
        </w:rPr>
        <w:t>3.</w:t>
      </w:r>
      <w:r>
        <w:rPr>
          <w:rFonts w:hint="eastAsia" w:ascii="仿宋_GB2312" w:hAnsi="黑体" w:eastAsia="仿宋_GB2312"/>
          <w:b/>
          <w:sz w:val="32"/>
        </w:rPr>
        <w:t xml:space="preserve"> 公共安全（类）司法（款）事业运行（项）</w:t>
      </w:r>
      <w:r>
        <w:rPr>
          <w:rFonts w:ascii="仿宋_GB2312" w:hAnsi="Calibri" w:eastAsia="仿宋_GB2312"/>
          <w:b/>
          <w:color w:val="000000"/>
          <w:sz w:val="32"/>
        </w:rPr>
        <w:t>:</w:t>
      </w:r>
      <w:r>
        <w:rPr>
          <w:rStyle w:val="16"/>
          <w:rFonts w:hint="eastAsia" w:ascii="仿宋" w:hAnsi="仿宋" w:eastAsia="仿宋"/>
          <w:b w:val="0"/>
          <w:bCs/>
          <w:color w:val="000000"/>
          <w:sz w:val="32"/>
          <w:szCs w:val="32"/>
        </w:rPr>
        <w:t>支出决算为25.86万元，完成预算100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pPr>
        <w:ind w:firstLine="632" w:firstLineChars="200"/>
        <w:rPr>
          <w:rStyle w:val="16"/>
          <w:rFonts w:ascii="仿宋" w:hAnsi="仿宋" w:eastAsia="仿宋"/>
          <w:b w:val="0"/>
          <w:bCs/>
          <w:color w:val="000000"/>
          <w:sz w:val="32"/>
          <w:szCs w:val="32"/>
        </w:rPr>
      </w:pPr>
      <w:r>
        <w:rPr>
          <w:rStyle w:val="16"/>
          <w:rFonts w:ascii="仿宋" w:hAnsi="仿宋" w:eastAsia="仿宋"/>
          <w:bCs/>
          <w:color w:val="000000"/>
          <w:sz w:val="32"/>
          <w:szCs w:val="32"/>
        </w:rPr>
        <w:t>4.</w:t>
      </w:r>
      <w:r>
        <w:rPr>
          <w:rFonts w:hint="eastAsia" w:ascii="仿宋_GB2312" w:hAnsi="黑体" w:eastAsia="仿宋_GB2312"/>
          <w:b/>
          <w:sz w:val="32"/>
        </w:rPr>
        <w:t xml:space="preserve"> 公共安全（类）司法（款）基层司法业务（项）</w:t>
      </w:r>
      <w:r>
        <w:rPr>
          <w:rFonts w:ascii="仿宋_GB2312" w:hAnsi="Calibri" w:eastAsia="仿宋_GB2312"/>
          <w:b/>
          <w:color w:val="000000"/>
          <w:sz w:val="32"/>
        </w:rPr>
        <w:t>:</w:t>
      </w:r>
      <w:r>
        <w:rPr>
          <w:rStyle w:val="16"/>
          <w:rFonts w:hint="eastAsia" w:ascii="仿宋" w:hAnsi="仿宋" w:eastAsia="仿宋"/>
          <w:b w:val="0"/>
          <w:bCs/>
          <w:color w:val="000000"/>
          <w:sz w:val="32"/>
          <w:szCs w:val="32"/>
        </w:rPr>
        <w:t>支出决算为11.21万元，完成预算100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pPr>
        <w:ind w:firstLine="640"/>
        <w:rPr>
          <w:rFonts w:ascii="仿宋_GB2312" w:hAnsi="Calibri" w:eastAsia="仿宋_GB2312"/>
          <w:color w:val="000000"/>
          <w:sz w:val="32"/>
        </w:rPr>
      </w:pPr>
      <w:r>
        <w:rPr>
          <w:rFonts w:ascii="仿宋_GB2312" w:hAnsi="Calibri" w:eastAsia="仿宋_GB2312"/>
          <w:b/>
          <w:color w:val="000000"/>
          <w:sz w:val="32"/>
        </w:rPr>
        <w:t>5.</w:t>
      </w:r>
      <w:r>
        <w:rPr>
          <w:rFonts w:hint="eastAsia" w:ascii="仿宋_GB2312" w:hAnsi="黑体" w:eastAsia="仿宋_GB2312"/>
          <w:b/>
          <w:sz w:val="32"/>
        </w:rPr>
        <w:t xml:space="preserve"> 公共安全（类）司法（款）普法宣传（项）</w:t>
      </w:r>
      <w:r>
        <w:rPr>
          <w:rFonts w:ascii="仿宋_GB2312" w:hAnsi="Calibri" w:eastAsia="仿宋_GB2312"/>
          <w:b/>
          <w:color w:val="000000"/>
          <w:sz w:val="32"/>
        </w:rPr>
        <w:t>:</w:t>
      </w:r>
      <w:r>
        <w:rPr>
          <w:rFonts w:ascii="仿宋_GB2312" w:hAnsi="Calibri" w:eastAsia="仿宋_GB2312"/>
          <w:color w:val="000000"/>
          <w:sz w:val="32"/>
        </w:rPr>
        <w:t xml:space="preserve"> 支出决算为</w:t>
      </w:r>
      <w:r>
        <w:rPr>
          <w:rFonts w:hint="eastAsia" w:ascii="仿宋_GB2312" w:hAnsi="Calibri" w:eastAsia="仿宋_GB2312"/>
          <w:color w:val="000000"/>
          <w:sz w:val="32"/>
        </w:rPr>
        <w:t>43.55</w:t>
      </w:r>
      <w:r>
        <w:rPr>
          <w:rFonts w:ascii="仿宋_GB2312" w:hAnsi="Calibri" w:eastAsia="仿宋_GB2312"/>
          <w:color w:val="000000"/>
          <w:sz w:val="32"/>
        </w:rPr>
        <w:t>万元，完成预算100%。</w:t>
      </w:r>
    </w:p>
    <w:p>
      <w:pPr>
        <w:ind w:firstLine="640"/>
        <w:rPr>
          <w:rFonts w:ascii="仿宋_GB2312" w:hAnsi="Calibri" w:eastAsia="仿宋_GB2312"/>
          <w:b/>
          <w:color w:val="000000"/>
          <w:sz w:val="32"/>
        </w:rPr>
      </w:pPr>
      <w:r>
        <w:rPr>
          <w:rFonts w:hint="eastAsia" w:ascii="仿宋_GB2312" w:hAnsi="Calibri" w:eastAsia="仿宋_GB2312"/>
          <w:b/>
          <w:color w:val="000000"/>
          <w:sz w:val="32"/>
        </w:rPr>
        <w:t>6</w:t>
      </w:r>
      <w:r>
        <w:rPr>
          <w:rFonts w:ascii="仿宋_GB2312" w:hAnsi="Calibri" w:eastAsia="仿宋_GB2312"/>
          <w:b/>
          <w:color w:val="000000"/>
          <w:sz w:val="32"/>
        </w:rPr>
        <w:t>.</w:t>
      </w:r>
      <w:r>
        <w:rPr>
          <w:rFonts w:hint="eastAsia" w:ascii="仿宋_GB2312" w:hAnsi="黑体" w:eastAsia="仿宋_GB2312"/>
          <w:b/>
          <w:sz w:val="32"/>
        </w:rPr>
        <w:t xml:space="preserve"> 公共安全（类）司法（款）法律援助（项）</w:t>
      </w:r>
      <w:r>
        <w:rPr>
          <w:rFonts w:ascii="仿宋_GB2312" w:hAnsi="Calibri" w:eastAsia="仿宋_GB2312"/>
          <w:b/>
          <w:color w:val="000000"/>
          <w:sz w:val="32"/>
        </w:rPr>
        <w:t>:</w:t>
      </w:r>
      <w:r>
        <w:rPr>
          <w:rFonts w:ascii="仿宋_GB2312" w:hAnsi="Calibri" w:eastAsia="仿宋_GB2312"/>
          <w:color w:val="000000"/>
          <w:sz w:val="32"/>
        </w:rPr>
        <w:t xml:space="preserve"> 支出决算为</w:t>
      </w:r>
      <w:r>
        <w:rPr>
          <w:rFonts w:hint="eastAsia" w:ascii="仿宋_GB2312" w:hAnsi="Calibri" w:eastAsia="仿宋_GB2312"/>
          <w:color w:val="000000"/>
          <w:sz w:val="32"/>
        </w:rPr>
        <w:t>15</w:t>
      </w:r>
      <w:r>
        <w:rPr>
          <w:rFonts w:ascii="仿宋_GB2312" w:hAnsi="Calibri" w:eastAsia="仿宋_GB2312"/>
          <w:color w:val="000000"/>
          <w:sz w:val="32"/>
        </w:rPr>
        <w:t>万元，完成预算100%。</w:t>
      </w:r>
    </w:p>
    <w:p>
      <w:pPr>
        <w:ind w:firstLine="640"/>
        <w:rPr>
          <w:rFonts w:ascii="仿宋_GB2312" w:hAnsi="Calibri" w:eastAsia="仿宋_GB2312"/>
          <w:color w:val="000000"/>
          <w:sz w:val="32"/>
        </w:rPr>
      </w:pPr>
      <w:r>
        <w:rPr>
          <w:rFonts w:ascii="仿宋_GB2312" w:hAnsi="Calibri" w:eastAsia="仿宋_GB2312"/>
          <w:b/>
          <w:color w:val="000000"/>
          <w:sz w:val="32"/>
        </w:rPr>
        <w:t>6.</w:t>
      </w:r>
      <w:r>
        <w:rPr>
          <w:rFonts w:hint="eastAsia" w:ascii="仿宋_GB2312" w:hAnsi="黑体" w:eastAsia="仿宋_GB2312"/>
          <w:b/>
          <w:sz w:val="32"/>
        </w:rPr>
        <w:t xml:space="preserve"> 公共安全（类）司法（款）司法统一考试（项）</w:t>
      </w:r>
      <w:r>
        <w:rPr>
          <w:rFonts w:ascii="仿宋_GB2312" w:hAnsi="Calibri" w:eastAsia="仿宋_GB2312"/>
          <w:b/>
          <w:color w:val="000000"/>
          <w:sz w:val="32"/>
        </w:rPr>
        <w:t>:</w:t>
      </w:r>
      <w:r>
        <w:rPr>
          <w:rFonts w:ascii="仿宋_GB2312" w:hAnsi="Calibri" w:eastAsia="仿宋_GB2312"/>
          <w:color w:val="000000"/>
          <w:sz w:val="32"/>
        </w:rPr>
        <w:t>支出决算为</w:t>
      </w:r>
      <w:r>
        <w:rPr>
          <w:rFonts w:hint="eastAsia" w:ascii="仿宋_GB2312" w:hAnsi="Calibri" w:eastAsia="仿宋_GB2312"/>
          <w:color w:val="000000"/>
          <w:sz w:val="32"/>
        </w:rPr>
        <w:t>0.50</w:t>
      </w:r>
      <w:r>
        <w:rPr>
          <w:rFonts w:ascii="仿宋_GB2312" w:hAnsi="Calibri" w:eastAsia="仿宋_GB2312"/>
          <w:color w:val="000000"/>
          <w:sz w:val="32"/>
        </w:rPr>
        <w:t>万元，完成预算100%。</w:t>
      </w:r>
    </w:p>
    <w:p>
      <w:pPr>
        <w:ind w:firstLine="640"/>
        <w:rPr>
          <w:rFonts w:ascii="仿宋_GB2312" w:eastAsia="仿宋_GB2312"/>
          <w:color w:val="000000"/>
          <w:sz w:val="32"/>
        </w:rPr>
      </w:pPr>
      <w:r>
        <w:rPr>
          <w:rFonts w:hint="eastAsia" w:ascii="仿宋_GB2312" w:hAnsi="黑体" w:eastAsia="仿宋_GB2312"/>
          <w:b/>
          <w:sz w:val="32"/>
        </w:rPr>
        <w:t>7.公共安全（类）司法（款）司法鉴定（项）：</w:t>
      </w:r>
      <w:r>
        <w:rPr>
          <w:rFonts w:hint="eastAsia" w:ascii="仿宋_GB2312" w:hAnsi="黑体" w:eastAsia="仿宋_GB2312"/>
          <w:sz w:val="32"/>
        </w:rPr>
        <w:t>支出</w:t>
      </w:r>
      <w:r>
        <w:rPr>
          <w:rFonts w:hint="eastAsia" w:ascii="仿宋_GB2312" w:eastAsia="仿宋_GB2312"/>
          <w:color w:val="000000"/>
          <w:sz w:val="32"/>
        </w:rPr>
        <w:t>决算数为0.50万元，完成预算100%。</w:t>
      </w:r>
    </w:p>
    <w:p>
      <w:pPr>
        <w:ind w:firstLine="640"/>
        <w:rPr>
          <w:rFonts w:ascii="仿宋_GB2312" w:eastAsia="仿宋_GB2312"/>
          <w:color w:val="000000"/>
          <w:sz w:val="32"/>
        </w:rPr>
      </w:pPr>
      <w:r>
        <w:rPr>
          <w:rFonts w:hint="eastAsia" w:ascii="仿宋_GB2312" w:hAnsi="黑体" w:eastAsia="仿宋_GB2312"/>
          <w:b/>
          <w:sz w:val="32"/>
        </w:rPr>
        <w:t>8.公共安全（类）司法（款）其他司法支出（项）：</w:t>
      </w:r>
      <w:r>
        <w:rPr>
          <w:rFonts w:hint="eastAsia" w:ascii="仿宋_GB2312" w:hAnsi="黑体" w:eastAsia="仿宋_GB2312"/>
          <w:sz w:val="32"/>
        </w:rPr>
        <w:t>支出</w:t>
      </w:r>
      <w:r>
        <w:rPr>
          <w:rFonts w:hint="eastAsia" w:ascii="仿宋_GB2312" w:eastAsia="仿宋_GB2312"/>
          <w:color w:val="000000"/>
          <w:sz w:val="32"/>
        </w:rPr>
        <w:t>决算数为19.50万元，完成预算100%。</w:t>
      </w:r>
    </w:p>
    <w:p>
      <w:pPr>
        <w:ind w:firstLine="640"/>
        <w:rPr>
          <w:rFonts w:ascii="仿宋_GB2312" w:eastAsia="仿宋_GB2312"/>
          <w:color w:val="000000"/>
          <w:sz w:val="32"/>
        </w:rPr>
      </w:pPr>
      <w:r>
        <w:rPr>
          <w:rFonts w:hint="eastAsia" w:ascii="仿宋_GB2312" w:hAnsi="黑体" w:eastAsia="仿宋_GB2312"/>
          <w:b/>
          <w:sz w:val="32"/>
        </w:rPr>
        <w:t>9. 社会保障和就业（类）行政事业单位离退休（款）未归口管理的行政单位离退休（项）：</w:t>
      </w:r>
      <w:r>
        <w:rPr>
          <w:rFonts w:hint="eastAsia" w:ascii="仿宋_GB2312" w:hAnsi="黑体" w:eastAsia="仿宋_GB2312"/>
          <w:sz w:val="32"/>
        </w:rPr>
        <w:t>支出</w:t>
      </w:r>
      <w:r>
        <w:rPr>
          <w:rFonts w:hint="eastAsia" w:ascii="仿宋_GB2312" w:eastAsia="仿宋_GB2312"/>
          <w:color w:val="000000"/>
          <w:sz w:val="32"/>
        </w:rPr>
        <w:t>决算数为11.64万元，完成预算100%。</w:t>
      </w:r>
    </w:p>
    <w:p>
      <w:pPr>
        <w:ind w:firstLine="640"/>
        <w:rPr>
          <w:rFonts w:ascii="仿宋_GB2312" w:eastAsia="仿宋_GB2312"/>
          <w:color w:val="000000"/>
          <w:sz w:val="32"/>
        </w:rPr>
      </w:pPr>
      <w:r>
        <w:rPr>
          <w:rFonts w:hint="eastAsia" w:ascii="仿宋_GB2312" w:hAnsi="黑体" w:eastAsia="仿宋_GB2312"/>
          <w:b/>
          <w:sz w:val="32"/>
        </w:rPr>
        <w:t>10. 社会保障和就业（类）行政事业单位离退休（款）机关事业单位基本养老保险缴费支出（项）：</w:t>
      </w:r>
      <w:r>
        <w:rPr>
          <w:rFonts w:hint="eastAsia" w:ascii="仿宋_GB2312" w:hAnsi="黑体" w:eastAsia="仿宋_GB2312"/>
          <w:sz w:val="32"/>
        </w:rPr>
        <w:t>支出</w:t>
      </w:r>
      <w:r>
        <w:rPr>
          <w:rFonts w:hint="eastAsia" w:ascii="仿宋_GB2312" w:eastAsia="仿宋_GB2312"/>
          <w:color w:val="000000"/>
          <w:sz w:val="32"/>
        </w:rPr>
        <w:t>决算数为73.24万元，完成预算100%。</w:t>
      </w:r>
    </w:p>
    <w:p>
      <w:pPr>
        <w:ind w:firstLine="640"/>
        <w:rPr>
          <w:rFonts w:ascii="仿宋_GB2312" w:eastAsia="仿宋_GB2312"/>
          <w:color w:val="000000"/>
          <w:sz w:val="32"/>
        </w:rPr>
      </w:pPr>
      <w:r>
        <w:rPr>
          <w:rFonts w:hint="eastAsia" w:ascii="仿宋_GB2312" w:hAnsi="黑体" w:eastAsia="仿宋_GB2312"/>
          <w:b/>
          <w:sz w:val="32"/>
        </w:rPr>
        <w:t>11. 社会保障和就业（类）抚恤（款）死亡抚恤（项）：</w:t>
      </w:r>
      <w:r>
        <w:rPr>
          <w:rFonts w:hint="eastAsia" w:ascii="仿宋_GB2312" w:hAnsi="黑体" w:eastAsia="仿宋_GB2312"/>
          <w:sz w:val="32"/>
        </w:rPr>
        <w:t>支出</w:t>
      </w:r>
      <w:r>
        <w:rPr>
          <w:rFonts w:hint="eastAsia" w:ascii="仿宋_GB2312" w:eastAsia="仿宋_GB2312"/>
          <w:color w:val="000000"/>
          <w:sz w:val="32"/>
        </w:rPr>
        <w:t>决算数为15.70万元，完成预算100%。</w:t>
      </w:r>
    </w:p>
    <w:p>
      <w:pPr>
        <w:ind w:firstLine="640"/>
        <w:rPr>
          <w:rFonts w:ascii="仿宋_GB2312" w:eastAsia="仿宋_GB2312"/>
          <w:color w:val="000000"/>
          <w:sz w:val="32"/>
        </w:rPr>
      </w:pPr>
      <w:r>
        <w:rPr>
          <w:rFonts w:hint="eastAsia" w:ascii="仿宋_GB2312" w:hAnsi="黑体" w:eastAsia="仿宋_GB2312"/>
          <w:b/>
          <w:sz w:val="32"/>
        </w:rPr>
        <w:t>12. 医疗卫生与计划生育（类）行政事业单位医疗（款）行政单位医疗（项）：</w:t>
      </w:r>
      <w:r>
        <w:rPr>
          <w:rFonts w:hint="eastAsia" w:ascii="仿宋_GB2312" w:hAnsi="黑体" w:eastAsia="仿宋_GB2312"/>
          <w:sz w:val="32"/>
        </w:rPr>
        <w:t>支出</w:t>
      </w:r>
      <w:r>
        <w:rPr>
          <w:rFonts w:hint="eastAsia" w:ascii="仿宋_GB2312" w:eastAsia="仿宋_GB2312"/>
          <w:color w:val="000000"/>
          <w:sz w:val="32"/>
        </w:rPr>
        <w:t>决算数为32.99万元，完成预算100%。</w:t>
      </w:r>
    </w:p>
    <w:p>
      <w:pPr>
        <w:ind w:firstLine="640"/>
        <w:rPr>
          <w:rFonts w:ascii="仿宋_GB2312" w:eastAsia="仿宋_GB2312"/>
          <w:color w:val="000000"/>
          <w:sz w:val="32"/>
        </w:rPr>
      </w:pPr>
      <w:r>
        <w:rPr>
          <w:rFonts w:hint="eastAsia" w:ascii="仿宋_GB2312" w:hAnsi="黑体" w:eastAsia="仿宋_GB2312"/>
          <w:b/>
          <w:sz w:val="32"/>
        </w:rPr>
        <w:t>13. 医疗卫生与计划生育（类）行政事业单位医疗（款）事业单位医疗（项）：</w:t>
      </w:r>
      <w:r>
        <w:rPr>
          <w:rFonts w:hint="eastAsia" w:ascii="仿宋_GB2312" w:hAnsi="黑体" w:eastAsia="仿宋_GB2312"/>
          <w:sz w:val="32"/>
        </w:rPr>
        <w:t>支出</w:t>
      </w:r>
      <w:r>
        <w:rPr>
          <w:rFonts w:hint="eastAsia" w:ascii="仿宋_GB2312" w:eastAsia="仿宋_GB2312"/>
          <w:color w:val="000000"/>
          <w:sz w:val="32"/>
        </w:rPr>
        <w:t>决算数为1.08万元，完成预算100%。</w:t>
      </w:r>
    </w:p>
    <w:p>
      <w:pPr>
        <w:ind w:firstLine="640"/>
        <w:rPr>
          <w:rFonts w:ascii="仿宋_GB2312" w:eastAsia="仿宋_GB2312"/>
          <w:color w:val="000000"/>
          <w:sz w:val="32"/>
        </w:rPr>
      </w:pPr>
      <w:r>
        <w:rPr>
          <w:rFonts w:hint="eastAsia" w:ascii="仿宋_GB2312" w:hAnsi="黑体" w:eastAsia="仿宋_GB2312"/>
          <w:b/>
          <w:sz w:val="32"/>
        </w:rPr>
        <w:t>14. 医疗救助（类）其他医疗救助支出（款）其他医疗救助支出（项）：</w:t>
      </w:r>
      <w:r>
        <w:rPr>
          <w:rFonts w:hint="eastAsia" w:ascii="仿宋_GB2312" w:hAnsi="黑体" w:eastAsia="仿宋_GB2312"/>
          <w:sz w:val="32"/>
        </w:rPr>
        <w:t>支出</w:t>
      </w:r>
      <w:r>
        <w:rPr>
          <w:rFonts w:hint="eastAsia" w:ascii="仿宋_GB2312" w:eastAsia="仿宋_GB2312"/>
          <w:color w:val="000000"/>
          <w:sz w:val="32"/>
        </w:rPr>
        <w:t>决算数为3.59万元，完成预算100%。</w:t>
      </w:r>
    </w:p>
    <w:p>
      <w:pPr>
        <w:ind w:firstLine="632" w:firstLineChars="200"/>
        <w:rPr>
          <w:rFonts w:eastAsia="仿宋_GB2312"/>
          <w:color w:val="000000"/>
          <w:sz w:val="32"/>
        </w:rPr>
      </w:pPr>
      <w:r>
        <w:rPr>
          <w:rFonts w:hint="eastAsia" w:ascii="仿宋_GB2312" w:hAnsi="黑体" w:eastAsia="仿宋_GB2312"/>
          <w:b/>
          <w:sz w:val="32"/>
        </w:rPr>
        <w:t>15. 住房保障（类）住房改革支出（款）住房公积金（项）：</w:t>
      </w:r>
      <w:r>
        <w:rPr>
          <w:rFonts w:hint="eastAsia" w:ascii="仿宋_GB2312" w:hAnsi="黑体" w:eastAsia="仿宋_GB2312"/>
          <w:sz w:val="32"/>
        </w:rPr>
        <w:t>支出</w:t>
      </w:r>
      <w:r>
        <w:rPr>
          <w:rFonts w:hint="eastAsia" w:ascii="仿宋_GB2312" w:eastAsia="仿宋_GB2312"/>
          <w:color w:val="000000"/>
          <w:sz w:val="32"/>
        </w:rPr>
        <w:t>决算数为74.09万元，完成预算100%。</w:t>
      </w:r>
    </w:p>
    <w:p>
      <w:pPr>
        <w:tabs>
          <w:tab w:val="right" w:pos="8306"/>
        </w:tabs>
        <w:ind w:firstLine="640"/>
        <w:outlineLvl w:val="1"/>
        <w:rPr>
          <w:rStyle w:val="20"/>
        </w:rPr>
      </w:pPr>
      <w:bookmarkStart w:id="40" w:name="_Toc15377214"/>
      <w:bookmarkStart w:id="41"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0"/>
          <w:rFonts w:hint="eastAsia" w:ascii="黑体" w:hAnsi="黑体" w:eastAsia="黑体"/>
          <w:b w:val="0"/>
        </w:rPr>
        <w:t>般公共预算财政拨款基本支出决算情况说明</w:t>
      </w:r>
      <w:bookmarkEnd w:id="40"/>
      <w:bookmarkEnd w:id="41"/>
      <w:r>
        <w:rPr>
          <w:rStyle w:val="20"/>
          <w:rFonts w:ascii="黑体" w:hAnsi="黑体" w:eastAsia="黑体"/>
          <w:b w:val="0"/>
        </w:rPr>
        <w:tab/>
      </w:r>
    </w:p>
    <w:p>
      <w:pPr>
        <w:ind w:firstLine="645"/>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年一般公共预算财政拨款基本支出1359.11万元，其中：</w:t>
      </w:r>
    </w:p>
    <w:p>
      <w:pPr>
        <w:ind w:firstLine="645"/>
        <w:rPr>
          <w:rFonts w:ascii="仿宋" w:hAnsi="仿宋" w:eastAsia="仿宋"/>
          <w:color w:val="000000"/>
          <w:sz w:val="32"/>
          <w:szCs w:val="32"/>
        </w:rPr>
      </w:pPr>
      <w:r>
        <w:rPr>
          <w:rFonts w:hint="eastAsia" w:ascii="仿宋" w:hAnsi="仿宋" w:eastAsia="仿宋"/>
          <w:color w:val="000000"/>
          <w:sz w:val="32"/>
          <w:szCs w:val="32"/>
        </w:rPr>
        <w:t>人员经费1008.21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公用经费139.04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ind w:firstLine="640"/>
        <w:outlineLvl w:val="1"/>
        <w:rPr>
          <w:rStyle w:val="20"/>
          <w:rFonts w:ascii="黑体" w:hAnsi="黑体" w:eastAsia="黑体"/>
          <w:b w:val="0"/>
        </w:rPr>
      </w:pPr>
      <w:bookmarkStart w:id="42" w:name="_Toc15396609"/>
      <w:bookmarkStart w:id="43" w:name="_Toc15377215"/>
      <w:r>
        <w:rPr>
          <w:rFonts w:hint="eastAsia" w:ascii="黑体" w:eastAsia="黑体"/>
          <w:color w:val="000000"/>
          <w:sz w:val="32"/>
          <w:szCs w:val="32"/>
        </w:rPr>
        <w:t>七、</w:t>
      </w:r>
      <w:r>
        <w:rPr>
          <w:rStyle w:val="20"/>
          <w:rFonts w:hint="eastAsia" w:ascii="黑体" w:hAnsi="黑体" w:eastAsia="黑体"/>
        </w:rPr>
        <w:t>“</w:t>
      </w:r>
      <w:r>
        <w:rPr>
          <w:rStyle w:val="20"/>
          <w:rFonts w:hint="eastAsia" w:ascii="黑体" w:hAnsi="黑体" w:eastAsia="黑体"/>
          <w:b w:val="0"/>
        </w:rPr>
        <w:t>三公”经费财政拨款支出决算情况说明</w:t>
      </w:r>
      <w:bookmarkEnd w:id="42"/>
      <w:bookmarkEnd w:id="43"/>
    </w:p>
    <w:p>
      <w:pPr>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ascii="仿宋_GB2312" w:hAnsi="Calibri" w:eastAsia="仿宋_GB2312"/>
          <w:color w:val="000000"/>
          <w:sz w:val="32"/>
        </w:rPr>
      </w:pPr>
      <w:r>
        <w:rPr>
          <w:rFonts w:ascii="仿宋" w:hAnsi="仿宋" w:eastAsia="仿宋"/>
          <w:color w:val="000000"/>
          <w:sz w:val="32"/>
          <w:szCs w:val="32"/>
        </w:rPr>
        <w:t>2018</w:t>
      </w:r>
      <w:r>
        <w:rPr>
          <w:rFonts w:hint="eastAsia" w:ascii="仿宋" w:hAnsi="仿宋" w:eastAsia="仿宋"/>
          <w:color w:val="000000"/>
          <w:sz w:val="32"/>
          <w:szCs w:val="32"/>
        </w:rPr>
        <w:t>年“三公”经费财政拨款支出决算为14.85万元，完成预算72.69</w:t>
      </w:r>
      <w:r>
        <w:rPr>
          <w:rFonts w:ascii="仿宋" w:hAnsi="仿宋" w:eastAsia="仿宋"/>
          <w:color w:val="000000"/>
          <w:sz w:val="32"/>
          <w:szCs w:val="32"/>
        </w:rPr>
        <w:t>%</w:t>
      </w:r>
      <w:r>
        <w:rPr>
          <w:rFonts w:hint="eastAsia" w:ascii="仿宋" w:hAnsi="仿宋" w:eastAsia="仿宋"/>
          <w:color w:val="000000"/>
          <w:sz w:val="32"/>
          <w:szCs w:val="32"/>
        </w:rPr>
        <w:t>，决算数小于预算数的主要原因是</w:t>
      </w:r>
      <w:r>
        <w:rPr>
          <w:rFonts w:hint="eastAsia" w:ascii="仿宋_GB2312" w:hAnsi="Calibri" w:eastAsia="仿宋_GB2312"/>
          <w:color w:val="000000"/>
          <w:sz w:val="32"/>
        </w:rPr>
        <w:t>公务接待费减少</w:t>
      </w:r>
      <w:r>
        <w:rPr>
          <w:rFonts w:hint="eastAsia" w:ascii="仿宋" w:hAnsi="仿宋" w:eastAsia="仿宋"/>
          <w:color w:val="000000"/>
          <w:sz w:val="32"/>
          <w:szCs w:val="32"/>
        </w:rPr>
        <w:t>。</w:t>
      </w:r>
    </w:p>
    <w:p>
      <w:pPr>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ind w:firstLine="64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；公务用车购置及运行维护费支出决算12.75万元，占85.86</w:t>
      </w:r>
      <w:r>
        <w:rPr>
          <w:rFonts w:ascii="仿宋" w:hAnsi="仿宋" w:eastAsia="仿宋"/>
          <w:color w:val="000000"/>
          <w:sz w:val="32"/>
          <w:szCs w:val="32"/>
        </w:rPr>
        <w:t>%</w:t>
      </w:r>
      <w:r>
        <w:rPr>
          <w:rFonts w:hint="eastAsia" w:ascii="仿宋" w:hAnsi="仿宋" w:eastAsia="仿宋"/>
          <w:color w:val="000000"/>
          <w:sz w:val="32"/>
          <w:szCs w:val="32"/>
        </w:rPr>
        <w:t>；公务接待费支出决算2.1万元，占14.14</w:t>
      </w:r>
      <w:r>
        <w:rPr>
          <w:rFonts w:ascii="仿宋" w:hAnsi="仿宋" w:eastAsia="仿宋"/>
          <w:color w:val="000000"/>
          <w:sz w:val="32"/>
          <w:szCs w:val="32"/>
        </w:rPr>
        <w:t>%</w:t>
      </w:r>
      <w:r>
        <w:rPr>
          <w:rFonts w:hint="eastAsia" w:ascii="仿宋" w:hAnsi="仿宋" w:eastAsia="仿宋"/>
          <w:color w:val="000000"/>
          <w:sz w:val="32"/>
          <w:szCs w:val="32"/>
        </w:rPr>
        <w:t>。具体情况如下：</w:t>
      </w:r>
    </w:p>
    <w:p>
      <w:pPr>
        <w:ind w:firstLine="64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8</w:t>
      </w:r>
      <w:r>
        <w:rPr>
          <w:rFonts w:hint="eastAsia" w:ascii="仿宋" w:hAnsi="仿宋" w:eastAsia="仿宋"/>
          <w:color w:val="000000"/>
          <w:sz w:val="32"/>
          <w:szCs w:val="32"/>
        </w:rPr>
        <w:t>：“三公”经费财政拨款支出结构）（饼状图）</w:t>
      </w:r>
    </w:p>
    <w:p>
      <w:pPr>
        <w:ind w:firstLine="640"/>
        <w:rPr>
          <w:rFonts w:ascii="仿宋" w:hAnsi="仿宋" w:eastAsia="仿宋"/>
          <w:color w:val="000000"/>
          <w:sz w:val="32"/>
          <w:szCs w:val="32"/>
        </w:rPr>
      </w:pPr>
      <w:r>
        <w:rPr>
          <w:rFonts w:hint="eastAsia" w:ascii="仿宋" w:hAnsi="仿宋" w:eastAsia="仿宋"/>
          <w:color w:val="000000"/>
          <w:sz w:val="32"/>
          <w:szCs w:val="32"/>
        </w:rPr>
        <w:drawing>
          <wp:inline distT="0" distB="0" distL="0" distR="0">
            <wp:extent cx="4848225" cy="2343150"/>
            <wp:effectExtent l="19050" t="0" r="9525" b="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16"/>
          <w:rFonts w:hint="eastAsia" w:ascii="仿宋" w:hAnsi="仿宋" w:eastAsia="仿宋"/>
          <w:b w:val="0"/>
          <w:bCs/>
          <w:color w:val="000000"/>
          <w:sz w:val="32"/>
          <w:szCs w:val="32"/>
        </w:rPr>
        <w:t>完成预算0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全年安排因公出国（境）团组0次，出国（境）0人。因公出国（境）支出决算与</w:t>
      </w:r>
      <w:r>
        <w:rPr>
          <w:rFonts w:ascii="仿宋_GB2312" w:eastAsia="仿宋_GB2312"/>
          <w:color w:val="000000"/>
          <w:sz w:val="32"/>
          <w:szCs w:val="32"/>
        </w:rPr>
        <w:t>2017</w:t>
      </w:r>
      <w:r>
        <w:rPr>
          <w:rFonts w:hint="eastAsia" w:ascii="仿宋_GB2312" w:eastAsia="仿宋_GB2312"/>
          <w:color w:val="000000"/>
          <w:sz w:val="32"/>
          <w:szCs w:val="32"/>
        </w:rPr>
        <w:t>年持平。</w:t>
      </w:r>
    </w:p>
    <w:p>
      <w:pPr>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12.75万元</w:t>
      </w:r>
      <w:r>
        <w:rPr>
          <w:rFonts w:ascii="仿宋_GB2312" w:eastAsia="仿宋_GB2312"/>
          <w:color w:val="000000"/>
          <w:sz w:val="32"/>
          <w:szCs w:val="32"/>
        </w:rPr>
        <w:t>,</w:t>
      </w:r>
      <w:r>
        <w:rPr>
          <w:rStyle w:val="16"/>
          <w:rFonts w:hint="eastAsia" w:ascii="仿宋" w:hAnsi="仿宋" w:eastAsia="仿宋"/>
          <w:b w:val="0"/>
          <w:bCs/>
          <w:color w:val="000000"/>
          <w:sz w:val="32"/>
          <w:szCs w:val="32"/>
        </w:rPr>
        <w:t>完成预算100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公务用车购置及运行维护费支出决算与</w:t>
      </w:r>
      <w:r>
        <w:rPr>
          <w:rFonts w:ascii="仿宋_GB2312" w:eastAsia="仿宋_GB2312"/>
          <w:color w:val="000000"/>
          <w:sz w:val="32"/>
          <w:szCs w:val="32"/>
        </w:rPr>
        <w:t>2017</w:t>
      </w:r>
      <w:r>
        <w:rPr>
          <w:rFonts w:hint="eastAsia" w:ascii="仿宋_GB2312" w:eastAsia="仿宋_GB2312"/>
          <w:color w:val="000000"/>
          <w:sz w:val="32"/>
          <w:szCs w:val="32"/>
        </w:rPr>
        <w:t>年持平。</w:t>
      </w:r>
    </w:p>
    <w:p>
      <w:pPr>
        <w:ind w:firstLine="632"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0万元。截至</w:t>
      </w:r>
      <w:r>
        <w:rPr>
          <w:rFonts w:ascii="仿宋_GB2312" w:eastAsia="仿宋_GB2312"/>
          <w:color w:val="000000"/>
          <w:sz w:val="32"/>
          <w:szCs w:val="32"/>
        </w:rPr>
        <w:t>2018</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月底，单位共有公务用车3辆，其中：轿车3辆、越野车0辆、载客汽车0辆。</w:t>
      </w:r>
    </w:p>
    <w:p>
      <w:pPr>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 w:hAnsi="仿宋" w:eastAsia="仿宋"/>
          <w:color w:val="000000"/>
          <w:sz w:val="32"/>
          <w:szCs w:val="32"/>
        </w:rPr>
        <w:t>12.75万元。主要用于</w:t>
      </w:r>
      <w:r>
        <w:rPr>
          <w:rFonts w:ascii="仿宋" w:hAnsi="仿宋" w:eastAsia="仿宋"/>
          <w:sz w:val="32"/>
        </w:rPr>
        <w:t>保障</w:t>
      </w:r>
      <w:r>
        <w:rPr>
          <w:rFonts w:hint="eastAsia" w:ascii="仿宋" w:hAnsi="仿宋" w:eastAsia="仿宋"/>
          <w:sz w:val="32"/>
        </w:rPr>
        <w:t>局机关执行公务活动、开展基层工作调研、普法宣传工作、实施司法监督检查、开展“八项实事”</w:t>
      </w:r>
      <w:r>
        <w:rPr>
          <w:rFonts w:ascii="仿宋" w:hAnsi="仿宋" w:eastAsia="仿宋"/>
          <w:sz w:val="32"/>
        </w:rPr>
        <w:t>等工作</w:t>
      </w:r>
      <w:r>
        <w:rPr>
          <w:rFonts w:hint="eastAsia" w:ascii="仿宋" w:hAnsi="仿宋" w:eastAsia="仿宋"/>
          <w:color w:val="000000"/>
          <w:sz w:val="32"/>
          <w:szCs w:val="32"/>
        </w:rPr>
        <w:t>等所需的公务用车燃料费、维修费、过路过桥费、保险费等支出。</w:t>
      </w:r>
    </w:p>
    <w:p>
      <w:pPr>
        <w:spacing w:line="600" w:lineRule="exact"/>
        <w:ind w:firstLine="640"/>
        <w:rPr>
          <w:rFonts w:ascii="仿宋" w:hAnsi="仿宋" w:eastAsia="仿宋"/>
          <w:b/>
          <w:color w:val="000000"/>
          <w:sz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 w:hAnsi="仿宋" w:eastAsia="仿宋"/>
          <w:color w:val="000000"/>
          <w:sz w:val="32"/>
          <w:szCs w:val="32"/>
        </w:rPr>
        <w:t>2.1万元，</w:t>
      </w:r>
      <w:r>
        <w:rPr>
          <w:rStyle w:val="16"/>
          <w:rFonts w:hint="eastAsia" w:ascii="仿宋" w:hAnsi="仿宋" w:eastAsia="仿宋"/>
          <w:b w:val="0"/>
          <w:bCs/>
          <w:color w:val="000000"/>
          <w:sz w:val="32"/>
          <w:szCs w:val="32"/>
        </w:rPr>
        <w:t>完成预算27.34</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r>
        <w:rPr>
          <w:rFonts w:hint="eastAsia" w:ascii="仿宋" w:hAnsi="仿宋" w:eastAsia="仿宋"/>
          <w:color w:val="000000"/>
          <w:sz w:val="32"/>
          <w:szCs w:val="32"/>
        </w:rPr>
        <w:t>公务接待费支出决算比</w:t>
      </w:r>
      <w:r>
        <w:rPr>
          <w:rFonts w:ascii="仿宋" w:hAnsi="仿宋" w:eastAsia="仿宋"/>
          <w:color w:val="000000"/>
          <w:sz w:val="32"/>
          <w:szCs w:val="32"/>
        </w:rPr>
        <w:t>2017</w:t>
      </w:r>
      <w:r>
        <w:rPr>
          <w:rFonts w:hint="eastAsia" w:ascii="仿宋" w:hAnsi="仿宋" w:eastAsia="仿宋"/>
          <w:color w:val="000000"/>
          <w:sz w:val="32"/>
          <w:szCs w:val="32"/>
        </w:rPr>
        <w:t>年减少1.88万元，下降47.24</w:t>
      </w:r>
      <w:r>
        <w:rPr>
          <w:rFonts w:ascii="仿宋" w:hAnsi="仿宋" w:eastAsia="仿宋"/>
          <w:color w:val="000000"/>
          <w:sz w:val="32"/>
          <w:szCs w:val="32"/>
        </w:rPr>
        <w:t>%</w:t>
      </w:r>
      <w:r>
        <w:rPr>
          <w:rFonts w:hint="eastAsia" w:ascii="仿宋" w:hAnsi="仿宋" w:eastAsia="仿宋"/>
          <w:color w:val="000000"/>
          <w:sz w:val="32"/>
          <w:szCs w:val="32"/>
        </w:rPr>
        <w:t>。主要原因是</w:t>
      </w:r>
      <w:r>
        <w:rPr>
          <w:rFonts w:hint="eastAsia" w:ascii="仿宋" w:hAnsi="仿宋" w:eastAsia="仿宋"/>
          <w:color w:val="000000"/>
          <w:sz w:val="32"/>
        </w:rPr>
        <w:t>认真贯彻落实中央关于厉行节约的要求，加强内部财务管理，严格执行公务接待制度，控制接待标准和次数</w:t>
      </w:r>
      <w:r>
        <w:rPr>
          <w:rFonts w:hint="eastAsia" w:ascii="仿宋" w:hAnsi="仿宋" w:eastAsia="仿宋"/>
          <w:color w:val="000000"/>
          <w:sz w:val="32"/>
          <w:szCs w:val="32"/>
        </w:rPr>
        <w:t>。</w:t>
      </w:r>
    </w:p>
    <w:p>
      <w:pPr>
        <w:ind w:firstLine="632" w:firstLineChars="200"/>
        <w:rPr>
          <w:rFonts w:ascii="仿宋" w:hAnsi="仿宋" w:eastAsia="仿宋"/>
          <w:color w:val="000000"/>
          <w:sz w:val="32"/>
          <w:szCs w:val="32"/>
        </w:rPr>
      </w:pPr>
      <w:r>
        <w:rPr>
          <w:rFonts w:hint="eastAsia" w:ascii="仿宋" w:hAnsi="仿宋" w:eastAsia="仿宋"/>
          <w:color w:val="000000"/>
          <w:sz w:val="32"/>
          <w:szCs w:val="32"/>
        </w:rPr>
        <w:t>主要用于执行公务、开展业务活动开支的交通费、住宿费、用餐费等。国内公务接待17批次，260人次（不包括陪同人员），共计支出2.1万元，具体内容包括：成都市金牛区司法局赴遂宁市司法局考察学习接待费1057元，省厅和达州市司法局到遂宁检查省级规范化司法所验收交叉检查接待费980元，全省人大内务司法工作会接待费1340元，资阳市司法局赴遂宁市司法局考察学习社区矫正工作接待费2028元，四川联合调研组到遂调研涉法涉诉信访工作接待费2790元，“七五”普法骨干培训接待费1600元等。其中：</w:t>
      </w:r>
    </w:p>
    <w:p>
      <w:pPr>
        <w:ind w:firstLine="632" w:firstLineChars="200"/>
        <w:rPr>
          <w:rFonts w:ascii="仿宋_GB2312" w:eastAsia="仿宋_GB2312"/>
          <w:color w:val="000000"/>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rPr>
        <w:t>0</w:t>
      </w:r>
      <w:r>
        <w:rPr>
          <w:rFonts w:hint="eastAsia" w:ascii="仿宋_GB2312" w:eastAsia="仿宋_GB2312"/>
          <w:color w:val="000000"/>
          <w:sz w:val="32"/>
          <w:szCs w:val="32"/>
        </w:rPr>
        <w:t>万元，外事接待0批次，0人，共计支出0万元.</w:t>
      </w:r>
    </w:p>
    <w:p>
      <w:pPr>
        <w:ind w:firstLine="640"/>
        <w:rPr>
          <w:rFonts w:ascii="仿宋_GB2312" w:eastAsia="仿宋_GB2312"/>
          <w:color w:val="000000"/>
          <w:sz w:val="32"/>
          <w:szCs w:val="32"/>
        </w:rPr>
      </w:pPr>
      <w:r>
        <w:rPr>
          <w:rFonts w:hint="eastAsia" w:ascii="仿宋" w:hAnsi="仿宋" w:eastAsia="仿宋"/>
          <w:b/>
          <w:color w:val="000000"/>
          <w:sz w:val="32"/>
          <w:szCs w:val="32"/>
        </w:rPr>
        <w:t>其他国内公务接待支出</w:t>
      </w:r>
      <w:r>
        <w:rPr>
          <w:rFonts w:hint="eastAsia" w:ascii="仿宋" w:hAnsi="仿宋" w:eastAsia="仿宋"/>
          <w:color w:val="000000"/>
          <w:sz w:val="32"/>
          <w:szCs w:val="32"/>
        </w:rPr>
        <w:t>0</w:t>
      </w:r>
      <w:r>
        <w:rPr>
          <w:rFonts w:hint="eastAsia" w:ascii="仿宋_GB2312" w:eastAsia="仿宋_GB2312"/>
          <w:color w:val="000000"/>
          <w:sz w:val="32"/>
          <w:szCs w:val="32"/>
        </w:rPr>
        <w:t>万元。</w:t>
      </w:r>
      <w:bookmarkStart w:id="46" w:name="_Toc15377218"/>
      <w:bookmarkStart w:id="47" w:name="_Toc15396610"/>
    </w:p>
    <w:p>
      <w:pPr>
        <w:ind w:firstLine="640"/>
        <w:outlineLvl w:val="1"/>
        <w:rPr>
          <w:rStyle w:val="20"/>
          <w:rFonts w:ascii="黑体" w:hAnsi="黑体" w:eastAsia="黑体"/>
        </w:rPr>
      </w:pPr>
      <w:r>
        <w:rPr>
          <w:rFonts w:hint="eastAsia" w:ascii="黑体" w:eastAsia="黑体"/>
          <w:color w:val="000000"/>
          <w:sz w:val="32"/>
          <w:szCs w:val="32"/>
        </w:rPr>
        <w:t>八、</w:t>
      </w:r>
      <w:r>
        <w:rPr>
          <w:rStyle w:val="20"/>
          <w:rFonts w:hint="eastAsia" w:ascii="黑体" w:hAnsi="黑体" w:eastAsia="黑体"/>
          <w:b w:val="0"/>
        </w:rPr>
        <w:t>政府性基金预算支出决算情况说明</w:t>
      </w:r>
      <w:bookmarkEnd w:id="46"/>
      <w:bookmarkEnd w:id="47"/>
    </w:p>
    <w:p>
      <w:pPr>
        <w:ind w:firstLine="64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年政府性基金预算拨款支出0万元。</w:t>
      </w:r>
    </w:p>
    <w:p>
      <w:pPr>
        <w:numPr>
          <w:ilvl w:val="0"/>
          <w:numId w:val="2"/>
        </w:numPr>
        <w:ind w:firstLine="640"/>
        <w:outlineLvl w:val="1"/>
        <w:rPr>
          <w:rStyle w:val="20"/>
          <w:rFonts w:ascii="黑体" w:hAnsi="黑体" w:eastAsia="黑体"/>
          <w:b w:val="0"/>
        </w:rPr>
      </w:pPr>
      <w:bookmarkStart w:id="48" w:name="_Toc15377219"/>
      <w:bookmarkStart w:id="49" w:name="_Toc15396611"/>
      <w:r>
        <w:rPr>
          <w:rStyle w:val="20"/>
          <w:rFonts w:hint="eastAsia" w:ascii="黑体" w:hAnsi="黑体" w:eastAsia="黑体"/>
          <w:b w:val="0"/>
        </w:rPr>
        <w:t>国有资本经营预算支出决算情况说明</w:t>
      </w:r>
      <w:bookmarkEnd w:id="48"/>
      <w:bookmarkEnd w:id="49"/>
    </w:p>
    <w:p>
      <w:pPr>
        <w:ind w:firstLine="64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年国有资本经营预算拨款支出0万元。</w:t>
      </w:r>
    </w:p>
    <w:p>
      <w:pPr>
        <w:pStyle w:val="29"/>
        <w:numPr>
          <w:ilvl w:val="0"/>
          <w:numId w:val="3"/>
        </w:numPr>
        <w:ind w:firstLineChars="0"/>
        <w:rPr>
          <w:rStyle w:val="20"/>
          <w:rFonts w:ascii="黑体" w:hAnsi="黑体" w:eastAsia="黑体"/>
          <w:b w:val="0"/>
        </w:rPr>
      </w:pPr>
      <w:r>
        <w:rPr>
          <w:rStyle w:val="20"/>
          <w:rFonts w:hint="eastAsia" w:ascii="黑体" w:hAnsi="黑体" w:eastAsia="黑体"/>
          <w:b w:val="0"/>
        </w:rPr>
        <w:t>预算绩效情况说明</w:t>
      </w:r>
    </w:p>
    <w:p>
      <w:pPr>
        <w:numPr>
          <w:ilvl w:val="0"/>
          <w:numId w:val="4"/>
        </w:numPr>
        <w:ind w:firstLine="632" w:firstLineChars="200"/>
        <w:rPr>
          <w:rFonts w:ascii="仿宋" w:hAnsi="仿宋" w:eastAsia="仿宋" w:cs="楷体_GB2312"/>
          <w:b/>
          <w:bCs/>
          <w:sz w:val="32"/>
          <w:szCs w:val="32"/>
        </w:rPr>
      </w:pPr>
      <w:r>
        <w:rPr>
          <w:rFonts w:hint="eastAsia" w:ascii="仿宋" w:hAnsi="仿宋" w:eastAsia="仿宋" w:cs="楷体_GB2312"/>
          <w:b/>
          <w:bCs/>
          <w:sz w:val="32"/>
          <w:szCs w:val="32"/>
        </w:rPr>
        <w:t>预算绩效管理工作开展情况。</w:t>
      </w:r>
    </w:p>
    <w:p>
      <w:pPr>
        <w:ind w:firstLine="632" w:firstLineChars="200"/>
        <w:rPr>
          <w:rFonts w:ascii="仿宋" w:hAnsi="仿宋" w:eastAsia="仿宋" w:cs="仿宋_GB2312"/>
          <w:sz w:val="32"/>
          <w:szCs w:val="32"/>
        </w:rPr>
      </w:pPr>
      <w:r>
        <w:rPr>
          <w:rFonts w:hint="eastAsia" w:ascii="仿宋" w:hAnsi="仿宋" w:eastAsia="仿宋" w:cs="仿宋_GB2312"/>
          <w:sz w:val="32"/>
          <w:szCs w:val="32"/>
        </w:rPr>
        <w:t>根据预算绩效管理要求，本部门（单位）在年初预算编制阶段，组织对预算项目开展了预算事前绩效评估，对8个项目编制了绩效目标，预算执行过程中，选取1个项目开展绩效监控，年终执行完毕后，对1个项目开展了绩效目标完成情况梳理填报。</w:t>
      </w:r>
    </w:p>
    <w:p>
      <w:pPr>
        <w:ind w:firstLine="632" w:firstLineChars="200"/>
        <w:rPr>
          <w:rFonts w:ascii="仿宋" w:hAnsi="仿宋" w:eastAsia="仿宋"/>
          <w:sz w:val="32"/>
          <w:szCs w:val="32"/>
        </w:rPr>
      </w:pPr>
      <w:r>
        <w:rPr>
          <w:rFonts w:hint="eastAsia" w:ascii="仿宋" w:hAnsi="仿宋" w:eastAsia="仿宋" w:cs="仿宋_GB2312"/>
          <w:sz w:val="32"/>
          <w:szCs w:val="32"/>
        </w:rPr>
        <w:t>本部门按要求对</w:t>
      </w:r>
      <w:r>
        <w:rPr>
          <w:rFonts w:ascii="仿宋" w:hAnsi="仿宋" w:eastAsia="仿宋" w:cs="仿宋_GB2312"/>
          <w:sz w:val="32"/>
          <w:szCs w:val="32"/>
        </w:rPr>
        <w:t>2018</w:t>
      </w:r>
      <w:r>
        <w:rPr>
          <w:rFonts w:hint="eastAsia" w:ascii="仿宋" w:hAnsi="仿宋" w:eastAsia="仿宋" w:cs="仿宋_GB2312"/>
          <w:sz w:val="32"/>
          <w:szCs w:val="32"/>
        </w:rPr>
        <w:t>年部门整体支出开展绩效自评，从评价情况来看</w:t>
      </w:r>
      <w:r>
        <w:rPr>
          <w:rFonts w:hint="eastAsia" w:ascii="仿宋" w:hAnsi="仿宋" w:eastAsia="仿宋"/>
          <w:sz w:val="32"/>
          <w:szCs w:val="32"/>
        </w:rPr>
        <w:t>从项目完成、项目效益、满意度等方面设置了绩效指标，综合反映项目预期完成的数量、成本、时效、质量，均预期达到了良好</w:t>
      </w:r>
      <w:r>
        <w:rPr>
          <w:rFonts w:hint="eastAsia" w:ascii="仿宋" w:hAnsi="仿宋" w:eastAsia="仿宋"/>
          <w:sz w:val="32"/>
          <w:szCs w:val="32"/>
          <w:lang w:eastAsia="zh-CN"/>
        </w:rPr>
        <w:t>的</w:t>
      </w:r>
      <w:r>
        <w:rPr>
          <w:rFonts w:hint="eastAsia" w:ascii="仿宋" w:hAnsi="仿宋" w:eastAsia="仿宋"/>
          <w:sz w:val="32"/>
          <w:szCs w:val="32"/>
        </w:rPr>
        <w:t>社会效益、可持续影响，服务对象满意度高</w:t>
      </w:r>
      <w:r>
        <w:rPr>
          <w:rFonts w:hint="eastAsia" w:ascii="仿宋" w:hAnsi="仿宋" w:eastAsia="仿宋" w:cs="仿宋_GB2312"/>
          <w:sz w:val="32"/>
          <w:szCs w:val="32"/>
        </w:rPr>
        <w:t>。本部门还自行组织了1个项目绩效评价，从评价情况来看</w:t>
      </w:r>
      <w:r>
        <w:rPr>
          <w:rFonts w:hint="eastAsia" w:ascii="仿宋" w:hAnsi="仿宋" w:eastAsia="仿宋"/>
          <w:sz w:val="32"/>
          <w:szCs w:val="32"/>
        </w:rPr>
        <w:t>栏目紧紧围绕市委中心工作，服务于经济社会发展，不断推动法治宣传教育工作创新发展，为推进依法治市、建设法治遂宁、营造良好法治环境做出了积极的贡献</w:t>
      </w:r>
      <w:r>
        <w:rPr>
          <w:rFonts w:hint="eastAsia" w:ascii="仿宋" w:hAnsi="仿宋" w:eastAsia="仿宋" w:cs="仿宋_GB2312"/>
          <w:sz w:val="32"/>
          <w:szCs w:val="32"/>
        </w:rPr>
        <w:t>。</w:t>
      </w:r>
    </w:p>
    <w:p>
      <w:pPr>
        <w:numPr>
          <w:ilvl w:val="0"/>
          <w:numId w:val="4"/>
        </w:numPr>
        <w:adjustRightInd w:val="0"/>
        <w:snapToGrid w:val="0"/>
        <w:spacing w:line="540" w:lineRule="exact"/>
        <w:ind w:firstLine="632" w:firstLineChars="200"/>
        <w:jc w:val="left"/>
        <w:rPr>
          <w:rFonts w:ascii="仿宋" w:hAnsi="仿宋" w:eastAsia="仿宋" w:cs="仿宋_GB2312"/>
          <w:sz w:val="32"/>
          <w:szCs w:val="32"/>
        </w:rPr>
      </w:pPr>
      <w:r>
        <w:rPr>
          <w:rFonts w:hint="eastAsia" w:ascii="仿宋" w:hAnsi="仿宋" w:eastAsia="仿宋" w:cs="楷体_GB2312"/>
          <w:b/>
          <w:bCs/>
          <w:sz w:val="32"/>
          <w:szCs w:val="32"/>
        </w:rPr>
        <w:t>项目绩效目标完成情况。</w:t>
      </w:r>
      <w:r>
        <w:rPr>
          <w:rFonts w:ascii="楷体_GB2312" w:hAnsi="楷体_GB2312" w:eastAsia="楷体_GB2312" w:cs="楷体_GB2312"/>
          <w:b/>
          <w:bCs/>
          <w:sz w:val="32"/>
          <w:szCs w:val="32"/>
        </w:rPr>
        <w:br w:type="textWrapping"/>
      </w:r>
      <w:r>
        <w:rPr>
          <w:rFonts w:ascii="仿宋_GB2312" w:hAnsi="仿宋_GB2312" w:eastAsia="仿宋_GB2312" w:cs="仿宋_GB2312"/>
          <w:sz w:val="32"/>
          <w:szCs w:val="32"/>
        </w:rPr>
        <w:t xml:space="preserve">   </w:t>
      </w:r>
      <w:r>
        <w:rPr>
          <w:rFonts w:ascii="仿宋" w:hAnsi="仿宋" w:eastAsia="仿宋" w:cs="仿宋_GB2312"/>
          <w:sz w:val="32"/>
          <w:szCs w:val="32"/>
        </w:rPr>
        <w:t xml:space="preserve"> </w:t>
      </w:r>
      <w:r>
        <w:rPr>
          <w:rFonts w:hint="eastAsia" w:ascii="仿宋" w:hAnsi="仿宋" w:eastAsia="仿宋" w:cs="仿宋_GB2312"/>
          <w:sz w:val="32"/>
          <w:szCs w:val="32"/>
        </w:rPr>
        <w:t>本部门在</w:t>
      </w:r>
      <w:r>
        <w:rPr>
          <w:rFonts w:ascii="仿宋" w:hAnsi="仿宋" w:eastAsia="仿宋" w:cs="仿宋_GB2312"/>
          <w:sz w:val="32"/>
          <w:szCs w:val="32"/>
        </w:rPr>
        <w:t>2018</w:t>
      </w:r>
      <w:r>
        <w:rPr>
          <w:rFonts w:hint="eastAsia" w:ascii="仿宋" w:hAnsi="仿宋" w:eastAsia="仿宋" w:cs="仿宋_GB2312"/>
          <w:sz w:val="32"/>
          <w:szCs w:val="32"/>
        </w:rPr>
        <w:t>年度部门决算中反映“</w:t>
      </w:r>
      <w:r>
        <w:rPr>
          <w:rFonts w:hint="eastAsia" w:ascii="仿宋" w:hAnsi="仿宋" w:eastAsia="仿宋"/>
          <w:color w:val="000000"/>
          <w:sz w:val="32"/>
          <w:szCs w:val="32"/>
          <w:shd w:val="clear" w:color="auto" w:fill="FFFFFF"/>
        </w:rPr>
        <w:t>以案说法工作经费</w:t>
      </w:r>
      <w:r>
        <w:rPr>
          <w:rFonts w:hint="eastAsia" w:ascii="仿宋" w:hAnsi="仿宋" w:eastAsia="仿宋" w:cs="仿宋_GB2312"/>
          <w:sz w:val="32"/>
          <w:szCs w:val="32"/>
        </w:rPr>
        <w:t>”项目绩效目标实际完成情况。</w:t>
      </w:r>
    </w:p>
    <w:p>
      <w:pPr>
        <w:tabs>
          <w:tab w:val="left" w:pos="312"/>
        </w:tabs>
        <w:adjustRightInd w:val="0"/>
        <w:snapToGrid w:val="0"/>
        <w:spacing w:line="540" w:lineRule="exact"/>
        <w:ind w:firstLine="632" w:firstLineChars="200"/>
        <w:jc w:val="left"/>
        <w:rPr>
          <w:rFonts w:hint="eastAsia" w:ascii="仿宋" w:hAnsi="仿宋" w:eastAsia="仿宋"/>
          <w:sz w:val="32"/>
          <w:szCs w:val="32"/>
        </w:rPr>
      </w:pPr>
      <w:r>
        <w:rPr>
          <w:rFonts w:hint="eastAsia" w:ascii="仿宋" w:hAnsi="仿宋" w:eastAsia="仿宋"/>
          <w:sz w:val="32"/>
          <w:szCs w:val="32"/>
        </w:rPr>
        <w:t>以案说法</w:t>
      </w:r>
      <w:r>
        <w:rPr>
          <w:rFonts w:hint="eastAsia" w:ascii="仿宋" w:hAnsi="仿宋" w:eastAsia="仿宋" w:cs="仿宋_GB2312"/>
          <w:sz w:val="32"/>
          <w:szCs w:val="32"/>
        </w:rPr>
        <w:t>项目绩效目标完成情况综述。项目全年预算数25万元，执行数为25万元，完成预算的100</w:t>
      </w:r>
      <w:r>
        <w:rPr>
          <w:rFonts w:ascii="仿宋" w:hAnsi="仿宋" w:eastAsia="仿宋" w:cs="仿宋_GB2312"/>
          <w:sz w:val="32"/>
          <w:szCs w:val="32"/>
        </w:rPr>
        <w:t>%</w:t>
      </w:r>
      <w:r>
        <w:rPr>
          <w:rFonts w:hint="eastAsia" w:ascii="仿宋" w:hAnsi="仿宋" w:eastAsia="仿宋" w:cs="仿宋_GB2312"/>
          <w:sz w:val="32"/>
          <w:szCs w:val="32"/>
        </w:rPr>
        <w:t>。通过项目实施，</w:t>
      </w:r>
      <w:r>
        <w:rPr>
          <w:rFonts w:hint="eastAsia" w:ascii="仿宋" w:hAnsi="仿宋" w:eastAsia="仿宋"/>
          <w:sz w:val="32"/>
          <w:szCs w:val="32"/>
        </w:rPr>
        <w:t>服务于经济社会发展，不断推动法治宣传教育工作创新发展，为推进依法治市、建设法治遂宁、营造良好法治环境做出了积极的贡献。</w:t>
      </w:r>
    </w:p>
    <w:p>
      <w:pPr>
        <w:tabs>
          <w:tab w:val="left" w:pos="312"/>
        </w:tabs>
        <w:adjustRightInd w:val="0"/>
        <w:snapToGrid w:val="0"/>
        <w:spacing w:line="540" w:lineRule="exact"/>
        <w:ind w:firstLine="632" w:firstLineChars="200"/>
        <w:jc w:val="left"/>
        <w:rPr>
          <w:rFonts w:hint="eastAsia" w:ascii="仿宋" w:hAnsi="仿宋" w:eastAsia="仿宋"/>
          <w:sz w:val="32"/>
          <w:szCs w:val="32"/>
        </w:rPr>
      </w:pPr>
    </w:p>
    <w:p>
      <w:pPr>
        <w:tabs>
          <w:tab w:val="left" w:pos="312"/>
        </w:tabs>
        <w:adjustRightInd w:val="0"/>
        <w:snapToGrid w:val="0"/>
        <w:spacing w:line="540" w:lineRule="exact"/>
        <w:ind w:firstLine="632" w:firstLineChars="200"/>
        <w:jc w:val="left"/>
        <w:rPr>
          <w:rFonts w:ascii="仿宋" w:hAnsi="仿宋" w:eastAsia="仿宋" w:cs="仿宋_GB2312"/>
          <w:sz w:val="32"/>
          <w:szCs w:val="32"/>
        </w:rPr>
      </w:pPr>
    </w:p>
    <w:tbl>
      <w:tblPr>
        <w:tblStyle w:val="13"/>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9"/>
              <w:widowControl/>
              <w:ind w:left="4105" w:leftChars="1310" w:hanging="1407" w:hangingChars="395"/>
              <w:textAlignment w:val="center"/>
              <w:rPr>
                <w:rFonts w:asci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ascii="宋体" w:cs="宋体"/>
                <w:b/>
                <w:bCs/>
                <w:color w:val="000000"/>
                <w:kern w:val="0"/>
                <w:sz w:val="36"/>
                <w:szCs w:val="36"/>
              </w:rPr>
              <w:br w:type="textWrapping"/>
            </w:r>
            <w:r>
              <w:rPr>
                <w:rFonts w:ascii="宋体" w:hAnsi="宋体" w:cs="宋体"/>
                <w:color w:val="000000"/>
                <w:kern w:val="0"/>
                <w:sz w:val="36"/>
                <w:szCs w:val="36"/>
              </w:rPr>
              <w:t xml:space="preserve">(2018 </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《以案说法》电视节目制作费</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遂宁市司法局</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25万元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25万元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25万元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25万元</w:t>
            </w:r>
          </w:p>
        </w:tc>
      </w:tr>
      <w:tr>
        <w:tblPrEx>
          <w:tblCellMar>
            <w:top w:w="0" w:type="dxa"/>
            <w:left w:w="0" w:type="dxa"/>
            <w:bottom w:w="0" w:type="dxa"/>
            <w:right w:w="0" w:type="dxa"/>
          </w:tblCellMar>
        </w:tblPrEx>
        <w:trPr>
          <w:trHeight w:val="1195"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cs="宋体"/>
                <w:color w:val="000000"/>
                <w:sz w:val="24"/>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外购法治类电视节目10万/年（打造周一至周日法治宣传时间段）。全年共制作《以案说法》节目52期左右。</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1、全年电视节目联办费用20万/年（主要用于编辑记者人力成本及设备消耗维护费用）</w:t>
            </w:r>
          </w:p>
          <w:p>
            <w:pPr>
              <w:widowControl/>
              <w:jc w:val="center"/>
              <w:textAlignment w:val="center"/>
              <w:rPr>
                <w:rFonts w:ascii="宋体" w:cs="宋体"/>
                <w:color w:val="000000"/>
                <w:sz w:val="24"/>
              </w:rPr>
            </w:pPr>
            <w:r>
              <w:rPr>
                <w:rFonts w:hint="eastAsia" w:ascii="宋体" w:cs="宋体"/>
                <w:color w:val="000000"/>
                <w:sz w:val="24"/>
              </w:rPr>
              <w:t>2、节目摄制成本10万/年（包括素材收集费用、参考资料费用、打印复印费用、车旅费、误餐费及其它杂质，平均每期节目摄制成本2000元）</w:t>
            </w:r>
          </w:p>
          <w:p>
            <w:pPr>
              <w:widowControl/>
              <w:jc w:val="center"/>
              <w:textAlignment w:val="center"/>
              <w:rPr>
                <w:rFonts w:ascii="宋体" w:cs="宋体"/>
                <w:color w:val="000000"/>
                <w:sz w:val="24"/>
              </w:rPr>
            </w:pPr>
            <w:r>
              <w:rPr>
                <w:rFonts w:hint="eastAsia" w:ascii="宋体" w:cs="宋体"/>
                <w:color w:val="000000"/>
                <w:sz w:val="24"/>
              </w:rPr>
              <w:t>3、外购法治类电视节目10万/年（打造周一至周日法治宣传时间段）。全年共制作《以案说法》节目52期左右。</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52期</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52期</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已完成</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全市城乡全覆盖，力求办成精品栏目</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全市城乡全覆盖</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已完成</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8000每期</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25万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已完成</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弘扬法治精神，普及法律知识，扎实推进法治遂宁建设</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弘扬法治精神，普及法律知识，扎实推进法治遂宁建设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已完成</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满意度90%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满意度90%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已完成</w:t>
            </w:r>
          </w:p>
        </w:tc>
      </w:tr>
    </w:tbl>
    <w:p>
      <w:pPr>
        <w:rPr>
          <w:rFonts w:ascii="仿宋_GB2312" w:hAnsi="仿宋_GB2312" w:eastAsia="仿宋_GB2312" w:cs="仿宋_GB2312"/>
          <w:sz w:val="32"/>
          <w:szCs w:val="32"/>
        </w:rPr>
      </w:pPr>
    </w:p>
    <w:p>
      <w:pPr>
        <w:numPr>
          <w:ilvl w:val="0"/>
          <w:numId w:val="4"/>
        </w:numPr>
        <w:ind w:firstLine="632" w:firstLineChars="200"/>
        <w:rPr>
          <w:rFonts w:ascii="仿宋" w:hAnsi="仿宋" w:eastAsia="仿宋" w:cs="仿宋_GB2312"/>
          <w:sz w:val="32"/>
          <w:szCs w:val="32"/>
        </w:rPr>
      </w:pPr>
      <w:r>
        <w:rPr>
          <w:rFonts w:hint="eastAsia" w:ascii="仿宋" w:hAnsi="仿宋" w:eastAsia="仿宋" w:cs="楷体_GB2312"/>
          <w:b/>
          <w:bCs/>
          <w:sz w:val="32"/>
          <w:szCs w:val="32"/>
        </w:rPr>
        <w:t>部门开展绩效评价结果。</w:t>
      </w:r>
    </w:p>
    <w:p>
      <w:pPr>
        <w:ind w:firstLine="632" w:firstLineChars="200"/>
        <w:rPr>
          <w:rFonts w:ascii="仿宋" w:hAnsi="仿宋" w:eastAsia="仿宋" w:cs="仿宋_GB2312"/>
          <w:sz w:val="32"/>
          <w:szCs w:val="32"/>
        </w:rPr>
      </w:pPr>
      <w:r>
        <w:rPr>
          <w:rFonts w:hint="eastAsia" w:ascii="仿宋" w:hAnsi="仿宋" w:eastAsia="仿宋" w:cs="仿宋_GB2312"/>
          <w:sz w:val="32"/>
          <w:szCs w:val="32"/>
        </w:rPr>
        <w:t>本部门按要求对</w:t>
      </w:r>
      <w:r>
        <w:rPr>
          <w:rFonts w:ascii="仿宋" w:hAnsi="仿宋" w:eastAsia="仿宋" w:cs="仿宋_GB2312"/>
          <w:sz w:val="32"/>
          <w:szCs w:val="32"/>
        </w:rPr>
        <w:t>2018</w:t>
      </w:r>
      <w:r>
        <w:rPr>
          <w:rFonts w:hint="eastAsia" w:ascii="仿宋" w:hAnsi="仿宋" w:eastAsia="仿宋" w:cs="仿宋_GB2312"/>
          <w:sz w:val="32"/>
          <w:szCs w:val="32"/>
        </w:rPr>
        <w:t>年部门整体支出绩效评价情况开展自评，《市司法局</w:t>
      </w:r>
      <w:r>
        <w:rPr>
          <w:rFonts w:ascii="仿宋" w:hAnsi="仿宋" w:eastAsia="仿宋" w:cs="仿宋_GB2312"/>
          <w:sz w:val="32"/>
          <w:szCs w:val="32"/>
        </w:rPr>
        <w:t>2018</w:t>
      </w:r>
      <w:r>
        <w:rPr>
          <w:rFonts w:hint="eastAsia" w:ascii="仿宋" w:hAnsi="仿宋" w:eastAsia="仿宋" w:cs="仿宋_GB2312"/>
          <w:sz w:val="32"/>
          <w:szCs w:val="32"/>
        </w:rPr>
        <w:t>年部门整体支出绩效评价报告》见附件。</w:t>
      </w:r>
    </w:p>
    <w:p>
      <w:pPr>
        <w:ind w:firstLine="632" w:firstLineChars="200"/>
        <w:rPr>
          <w:rFonts w:ascii="仿宋" w:hAnsi="仿宋" w:eastAsia="仿宋" w:cs="仿宋_GB2312"/>
          <w:sz w:val="32"/>
          <w:szCs w:val="32"/>
        </w:rPr>
      </w:pPr>
      <w:r>
        <w:rPr>
          <w:rFonts w:hint="eastAsia" w:ascii="仿宋" w:hAnsi="仿宋" w:eastAsia="仿宋" w:cs="仿宋_GB2312"/>
          <w:sz w:val="32"/>
          <w:szCs w:val="32"/>
        </w:rPr>
        <w:t>本部门自行组织对</w:t>
      </w:r>
      <w:r>
        <w:rPr>
          <w:rFonts w:hint="eastAsia" w:ascii="仿宋" w:hAnsi="仿宋" w:eastAsia="仿宋"/>
          <w:color w:val="000000"/>
          <w:sz w:val="32"/>
          <w:szCs w:val="32"/>
          <w:shd w:val="clear" w:color="auto" w:fill="FFFFFF"/>
        </w:rPr>
        <w:t>以案说法工作</w:t>
      </w:r>
      <w:r>
        <w:rPr>
          <w:rFonts w:hint="eastAsia" w:ascii="仿宋" w:hAnsi="仿宋" w:eastAsia="仿宋" w:cs="仿宋_GB2312"/>
          <w:sz w:val="32"/>
          <w:szCs w:val="32"/>
        </w:rPr>
        <w:t>项目开展了绩效评价，《</w:t>
      </w:r>
      <w:r>
        <w:rPr>
          <w:rFonts w:hint="eastAsia" w:ascii="仿宋" w:hAnsi="仿宋" w:eastAsia="仿宋"/>
          <w:color w:val="000000"/>
          <w:sz w:val="32"/>
          <w:szCs w:val="32"/>
          <w:shd w:val="clear" w:color="auto" w:fill="FFFFFF"/>
        </w:rPr>
        <w:t>以案说法工作</w:t>
      </w:r>
      <w:r>
        <w:rPr>
          <w:rFonts w:hint="eastAsia" w:ascii="仿宋" w:hAnsi="仿宋" w:eastAsia="仿宋" w:cs="仿宋_GB2312"/>
          <w:sz w:val="32"/>
          <w:szCs w:val="32"/>
        </w:rPr>
        <w:t>项目</w:t>
      </w:r>
      <w:r>
        <w:rPr>
          <w:rFonts w:ascii="仿宋" w:hAnsi="仿宋" w:eastAsia="仿宋" w:cs="仿宋_GB2312"/>
          <w:sz w:val="32"/>
          <w:szCs w:val="32"/>
        </w:rPr>
        <w:t>2018</w:t>
      </w:r>
      <w:r>
        <w:rPr>
          <w:rFonts w:hint="eastAsia" w:ascii="仿宋" w:hAnsi="仿宋" w:eastAsia="仿宋" w:cs="仿宋_GB2312"/>
          <w:sz w:val="32"/>
          <w:szCs w:val="32"/>
        </w:rPr>
        <w:t>年绩效评价报告》见附件。</w:t>
      </w:r>
    </w:p>
    <w:p>
      <w:pPr>
        <w:ind w:firstLine="790" w:firstLineChars="250"/>
        <w:outlineLvl w:val="1"/>
        <w:rPr>
          <w:rStyle w:val="20"/>
          <w:rFonts w:ascii="黑体" w:hAnsi="黑体" w:eastAsia="黑体"/>
        </w:rPr>
      </w:pPr>
      <w:bookmarkStart w:id="50" w:name="_Toc15377221"/>
      <w:bookmarkStart w:id="51" w:name="_Toc15396612"/>
      <w:r>
        <w:rPr>
          <w:rFonts w:hint="eastAsia" w:ascii="黑体" w:hAnsi="黑体" w:eastAsia="黑体"/>
          <w:color w:val="000000"/>
          <w:sz w:val="32"/>
          <w:szCs w:val="32"/>
        </w:rPr>
        <w:t>十</w:t>
      </w:r>
      <w:r>
        <w:rPr>
          <w:rStyle w:val="20"/>
          <w:rFonts w:hint="eastAsia" w:ascii="黑体" w:hAnsi="黑体" w:eastAsia="黑体"/>
        </w:rPr>
        <w:t>一、</w:t>
      </w:r>
      <w:r>
        <w:rPr>
          <w:rStyle w:val="20"/>
          <w:rFonts w:hint="eastAsia" w:ascii="黑体" w:hAnsi="黑体" w:eastAsia="黑体"/>
          <w:b w:val="0"/>
        </w:rPr>
        <w:t>其他重要事项的情况说明</w:t>
      </w:r>
      <w:bookmarkEnd w:id="50"/>
      <w:bookmarkEnd w:id="51"/>
    </w:p>
    <w:p>
      <w:pPr>
        <w:ind w:firstLine="632"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ind w:firstLine="632" w:firstLineChars="20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年，市司法局机关运行经费支出139.04万元，比</w:t>
      </w:r>
      <w:r>
        <w:rPr>
          <w:rFonts w:ascii="仿宋" w:hAnsi="仿宋" w:eastAsia="仿宋"/>
          <w:color w:val="000000"/>
          <w:sz w:val="32"/>
          <w:szCs w:val="32"/>
        </w:rPr>
        <w:t>2017</w:t>
      </w:r>
      <w:r>
        <w:rPr>
          <w:rFonts w:hint="eastAsia" w:ascii="仿宋" w:hAnsi="仿宋" w:eastAsia="仿宋"/>
          <w:color w:val="000000"/>
          <w:sz w:val="32"/>
          <w:szCs w:val="32"/>
        </w:rPr>
        <w:t>年增加2.63万元，增长1.89</w:t>
      </w:r>
      <w:r>
        <w:rPr>
          <w:rFonts w:ascii="仿宋" w:hAnsi="仿宋" w:eastAsia="仿宋"/>
          <w:color w:val="000000"/>
          <w:sz w:val="32"/>
          <w:szCs w:val="32"/>
        </w:rPr>
        <w:t>%</w:t>
      </w:r>
      <w:r>
        <w:rPr>
          <w:rFonts w:hint="eastAsia" w:ascii="仿宋" w:hAnsi="仿宋" w:eastAsia="仿宋"/>
          <w:color w:val="000000"/>
          <w:sz w:val="32"/>
          <w:szCs w:val="32"/>
        </w:rPr>
        <w:t>。主要原因是机关运行经费正常范围内波动。</w:t>
      </w:r>
    </w:p>
    <w:p>
      <w:pPr>
        <w:autoSpaceDE w:val="0"/>
        <w:autoSpaceDN w:val="0"/>
        <w:adjustRightInd w:val="0"/>
        <w:ind w:firstLine="632"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pPr>
        <w:ind w:firstLine="632" w:firstLineChars="20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市司法局政府采购支出总额46.34万元，其中：政府采购货物支出46.34万元、政府采购工程支出0万元、政府采购服务支出0万元。主要用于日常办公桌椅、办公电脑等采购。授予中小企业合同金额46.34万元，占政府采购支出总额的100</w:t>
      </w:r>
      <w:r>
        <w:rPr>
          <w:rFonts w:ascii="仿宋" w:hAnsi="仿宋" w:eastAsia="仿宋"/>
          <w:color w:val="000000"/>
          <w:sz w:val="32"/>
          <w:szCs w:val="32"/>
        </w:rPr>
        <w:t>%</w:t>
      </w:r>
      <w:r>
        <w:rPr>
          <w:rFonts w:hint="eastAsia" w:ascii="仿宋" w:hAnsi="仿宋" w:eastAsia="仿宋"/>
          <w:color w:val="000000"/>
          <w:sz w:val="32"/>
          <w:szCs w:val="32"/>
        </w:rPr>
        <w:t>，其中：授予小微企业合同金额46.34万元，占政府采购支出总额的100</w:t>
      </w:r>
      <w:r>
        <w:rPr>
          <w:rFonts w:ascii="仿宋" w:hAnsi="仿宋" w:eastAsia="仿宋"/>
          <w:color w:val="000000"/>
          <w:sz w:val="32"/>
          <w:szCs w:val="32"/>
        </w:rPr>
        <w:t>%</w:t>
      </w:r>
      <w:r>
        <w:rPr>
          <w:rFonts w:hint="eastAsia" w:ascii="仿宋" w:hAnsi="仿宋" w:eastAsia="仿宋"/>
          <w:color w:val="000000"/>
          <w:sz w:val="32"/>
          <w:szCs w:val="32"/>
        </w:rPr>
        <w:t>。</w:t>
      </w:r>
    </w:p>
    <w:p>
      <w:pPr>
        <w:autoSpaceDE w:val="0"/>
        <w:autoSpaceDN w:val="0"/>
        <w:adjustRightInd w:val="0"/>
        <w:ind w:firstLine="632"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autoSpaceDE w:val="0"/>
        <w:autoSpaceDN w:val="0"/>
        <w:adjustRightInd w:val="0"/>
        <w:ind w:firstLine="632" w:firstLineChars="200"/>
        <w:jc w:val="left"/>
        <w:rPr>
          <w:rFonts w:ascii="仿宋" w:hAnsi="仿宋" w:eastAsia="仿宋"/>
          <w:color w:val="000000"/>
          <w:sz w:val="32"/>
          <w:szCs w:val="32"/>
        </w:rPr>
      </w:pPr>
      <w:r>
        <w:rPr>
          <w:rFonts w:hint="eastAsia" w:ascii="仿宋" w:hAnsi="仿宋" w:eastAsia="仿宋"/>
          <w:color w:val="000000"/>
          <w:sz w:val="32"/>
          <w:szCs w:val="32"/>
        </w:rPr>
        <w:t>截至</w:t>
      </w:r>
      <w:r>
        <w:rPr>
          <w:rFonts w:ascii="仿宋" w:hAnsi="仿宋" w:eastAsia="仿宋"/>
          <w:color w:val="000000"/>
          <w:sz w:val="32"/>
          <w:szCs w:val="32"/>
        </w:rPr>
        <w:t>2018</w:t>
      </w:r>
      <w:r>
        <w:rPr>
          <w:rFonts w:hint="eastAsia" w:ascii="仿宋" w:hAnsi="仿宋" w:eastAsia="仿宋"/>
          <w:color w:val="000000"/>
          <w:sz w:val="32"/>
          <w:szCs w:val="32"/>
        </w:rPr>
        <w:t>年</w:t>
      </w:r>
      <w:r>
        <w:rPr>
          <w:rFonts w:ascii="仿宋" w:hAnsi="仿宋" w:eastAsia="仿宋"/>
          <w:color w:val="000000"/>
          <w:sz w:val="32"/>
          <w:szCs w:val="32"/>
        </w:rPr>
        <w:t>12</w:t>
      </w:r>
      <w:r>
        <w:rPr>
          <w:rFonts w:hint="eastAsia" w:ascii="仿宋" w:hAnsi="仿宋" w:eastAsia="仿宋"/>
          <w:color w:val="000000"/>
          <w:sz w:val="32"/>
          <w:szCs w:val="32"/>
        </w:rPr>
        <w:t>月</w:t>
      </w:r>
      <w:r>
        <w:rPr>
          <w:rFonts w:ascii="仿宋" w:hAnsi="仿宋" w:eastAsia="仿宋"/>
          <w:color w:val="000000"/>
          <w:sz w:val="32"/>
          <w:szCs w:val="32"/>
        </w:rPr>
        <w:t>31</w:t>
      </w:r>
      <w:r>
        <w:rPr>
          <w:rFonts w:hint="eastAsia" w:ascii="仿宋" w:hAnsi="仿宋" w:eastAsia="仿宋"/>
          <w:color w:val="000000"/>
          <w:sz w:val="32"/>
          <w:szCs w:val="32"/>
        </w:rPr>
        <w:t>日，市司法局共有车辆3辆，其中：部级领导干部用车0辆、一般公务用车0辆、一般执法执勤用车3辆、特种专业技术用车0辆、其他用车0辆.单价</w:t>
      </w:r>
      <w:r>
        <w:rPr>
          <w:rFonts w:ascii="仿宋" w:hAnsi="仿宋" w:eastAsia="仿宋"/>
          <w:color w:val="000000"/>
          <w:sz w:val="32"/>
          <w:szCs w:val="32"/>
        </w:rPr>
        <w:t>50</w:t>
      </w:r>
      <w:r>
        <w:rPr>
          <w:rFonts w:hint="eastAsia" w:ascii="仿宋" w:hAnsi="仿宋" w:eastAsia="仿宋"/>
          <w:color w:val="000000"/>
          <w:sz w:val="32"/>
          <w:szCs w:val="32"/>
        </w:rPr>
        <w:t>万元以上通用设备1台（套），单价</w:t>
      </w:r>
      <w:r>
        <w:rPr>
          <w:rFonts w:ascii="仿宋" w:hAnsi="仿宋" w:eastAsia="仿宋"/>
          <w:color w:val="000000"/>
          <w:sz w:val="32"/>
          <w:szCs w:val="32"/>
        </w:rPr>
        <w:t>100</w:t>
      </w:r>
      <w:r>
        <w:rPr>
          <w:rFonts w:hint="eastAsia" w:ascii="仿宋" w:hAnsi="仿宋" w:eastAsia="仿宋"/>
          <w:color w:val="000000"/>
          <w:sz w:val="32"/>
          <w:szCs w:val="32"/>
        </w:rPr>
        <w:t>万元以上专用设备0台（套）。</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5"/>
        </w:numPr>
        <w:ind w:firstLine="654" w:firstLineChars="150"/>
        <w:jc w:val="center"/>
        <w:outlineLvl w:val="0"/>
        <w:rPr>
          <w:rStyle w:val="19"/>
          <w:rFonts w:ascii="黑体" w:hAnsi="黑体" w:eastAsia="黑体"/>
          <w:b w:val="0"/>
        </w:rPr>
      </w:pPr>
      <w:bookmarkStart w:id="55" w:name="_Toc15377225"/>
      <w:bookmarkStart w:id="56" w:name="_Toc15396613"/>
      <w:r>
        <w:rPr>
          <w:rFonts w:hint="eastAsia" w:ascii="黑体" w:hAnsi="黑体" w:eastAsia="黑体"/>
          <w:b/>
          <w:color w:val="000000"/>
          <w:sz w:val="44"/>
          <w:szCs w:val="44"/>
        </w:rPr>
        <w:t>名</w:t>
      </w:r>
      <w:r>
        <w:rPr>
          <w:rStyle w:val="19"/>
          <w:rFonts w:hint="eastAsia" w:ascii="黑体" w:hAnsi="黑体" w:eastAsia="黑体"/>
          <w:b w:val="0"/>
        </w:rPr>
        <w:t>词解释</w:t>
      </w:r>
      <w:bookmarkEnd w:id="55"/>
      <w:bookmarkEnd w:id="56"/>
    </w:p>
    <w:p>
      <w:pPr>
        <w:jc w:val="left"/>
        <w:rPr>
          <w:rFonts w:ascii="宋体"/>
          <w:b/>
          <w:color w:val="000000"/>
          <w:sz w:val="44"/>
          <w:szCs w:val="44"/>
        </w:rPr>
      </w:pPr>
    </w:p>
    <w:p>
      <w:pPr>
        <w:pStyle w:val="28"/>
        <w:ind w:firstLine="632"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8"/>
        <w:ind w:firstLine="632"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8"/>
        <w:ind w:firstLine="632"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28"/>
        <w:ind w:firstLine="632"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其他收入：指单位取得的除上述收入以外的各项收入。主要是银行利息收入等。</w:t>
      </w:r>
    </w:p>
    <w:p>
      <w:pPr>
        <w:pStyle w:val="28"/>
        <w:ind w:firstLine="632"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28"/>
        <w:ind w:firstLine="632"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p>
    <w:p>
      <w:pPr>
        <w:pStyle w:val="28"/>
        <w:ind w:firstLine="632"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8"/>
        <w:ind w:firstLine="632"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rPr>
          <w:rFonts w:ascii="仿宋_GB2312" w:hAnsi="微软雅黑" w:eastAsia="仿宋_GB2312"/>
          <w:sz w:val="32"/>
        </w:rPr>
      </w:pPr>
      <w:r>
        <w:rPr>
          <w:rFonts w:ascii="仿宋_GB2312" w:eastAsia="仿宋_GB2312"/>
          <w:color w:val="000000"/>
          <w:sz w:val="32"/>
          <w:szCs w:val="32"/>
        </w:rPr>
        <w:t>9.</w:t>
      </w:r>
      <w:r>
        <w:rPr>
          <w:rFonts w:hint="eastAsia" w:ascii="仿宋_GB2312" w:hAnsi="微软雅黑" w:eastAsia="仿宋_GB2312"/>
          <w:sz w:val="32"/>
        </w:rPr>
        <w:t xml:space="preserve"> 公共安全（类）司法（款）行政运行（项）：是指局机关及参公管理事业单位正常运转的基本支出，包括基本工资、津贴补贴等人员经费以及办公费、印刷费、水电费等日常公用经费。</w:t>
      </w:r>
    </w:p>
    <w:p>
      <w:pPr>
        <w:ind w:firstLine="640"/>
        <w:rPr>
          <w:rFonts w:ascii="仿宋_GB2312" w:hAnsi="微软雅黑" w:eastAsia="仿宋_GB2312"/>
          <w:sz w:val="32"/>
        </w:rPr>
      </w:pPr>
      <w:r>
        <w:rPr>
          <w:rFonts w:hint="eastAsia" w:ascii="仿宋_GB2312" w:hAnsi="微软雅黑" w:eastAsia="仿宋_GB2312"/>
          <w:color w:val="000000"/>
          <w:sz w:val="32"/>
        </w:rPr>
        <w:t>10.</w:t>
      </w:r>
      <w:r>
        <w:rPr>
          <w:rFonts w:hint="eastAsia" w:ascii="仿宋_GB2312" w:hAnsi="微软雅黑" w:eastAsia="仿宋_GB2312"/>
          <w:sz w:val="32"/>
        </w:rPr>
        <w:t xml:space="preserve"> 公共安全（类）司法（款）一般行政管理事务（项）：是指行政单位未单独设置顶级科目的其他项目支出，包括办案业务支出、办案人员出差补助、住宿、案件补贴、装备的采购支出等。</w:t>
      </w:r>
    </w:p>
    <w:p>
      <w:pPr>
        <w:ind w:firstLine="640"/>
        <w:rPr>
          <w:rFonts w:ascii="仿宋_GB2312" w:hAnsi="微软雅黑" w:eastAsia="仿宋_GB2312"/>
          <w:sz w:val="32"/>
        </w:rPr>
      </w:pPr>
      <w:r>
        <w:rPr>
          <w:rFonts w:hint="eastAsia" w:ascii="仿宋_GB2312" w:hAnsi="微软雅黑" w:eastAsia="仿宋_GB2312"/>
          <w:sz w:val="32"/>
        </w:rPr>
        <w:t>11. 公共安全（类）司法（款）事业运行（项）：是指事业单位机构正常运行、开展日常工作的基本支出。</w:t>
      </w:r>
    </w:p>
    <w:p>
      <w:pPr>
        <w:ind w:firstLine="640"/>
        <w:rPr>
          <w:rFonts w:ascii="仿宋_GB2312" w:hAnsi="微软雅黑" w:eastAsia="仿宋_GB2312"/>
          <w:sz w:val="32"/>
        </w:rPr>
      </w:pPr>
      <w:r>
        <w:rPr>
          <w:rFonts w:hint="eastAsia" w:ascii="仿宋_GB2312" w:hAnsi="微软雅黑" w:eastAsia="仿宋_GB2312"/>
          <w:sz w:val="32"/>
        </w:rPr>
        <w:t>12.公共安全（类）司法（款）基层司法业务（项）：是指司法行政部门用于基层业务的支出，包括基层工作指导费、调节费、安置帮教费、“148”法律服务专用电话等支出。</w:t>
      </w:r>
    </w:p>
    <w:p>
      <w:pPr>
        <w:ind w:firstLine="640"/>
        <w:rPr>
          <w:rFonts w:ascii="仿宋_GB2312" w:hAnsi="微软雅黑" w:eastAsia="仿宋_GB2312"/>
          <w:sz w:val="32"/>
        </w:rPr>
      </w:pPr>
      <w:r>
        <w:rPr>
          <w:rFonts w:hint="eastAsia" w:ascii="仿宋_GB2312" w:hAnsi="微软雅黑" w:eastAsia="仿宋_GB2312"/>
          <w:sz w:val="32"/>
        </w:rPr>
        <w:t>13.公共安全（类）司法（款）普法宣传（项）：是指司法行政部门用于组织各种媒体的宣传、宣传资料、法制作品等支出。</w:t>
      </w:r>
    </w:p>
    <w:p>
      <w:pPr>
        <w:ind w:firstLine="640"/>
        <w:rPr>
          <w:rFonts w:ascii="仿宋_GB2312" w:hAnsi="微软雅黑" w:eastAsia="仿宋_GB2312"/>
          <w:sz w:val="32"/>
        </w:rPr>
      </w:pPr>
      <w:r>
        <w:rPr>
          <w:rFonts w:hint="eastAsia" w:ascii="仿宋_GB2312" w:hAnsi="微软雅黑" w:eastAsia="仿宋_GB2312"/>
          <w:sz w:val="32"/>
        </w:rPr>
        <w:t>14. 公共安全（类）司法（款）法律援助（项）：是指法律援助机构用于开展法律援助工作的支出，包括法律援助人员参加外部培训的经费支出、法律案件补贴、法律人员出差补助、交通费、住宿费等支出。</w:t>
      </w:r>
    </w:p>
    <w:p>
      <w:pPr>
        <w:ind w:firstLine="640"/>
        <w:rPr>
          <w:rFonts w:ascii="仿宋_GB2312" w:hAnsi="微软雅黑" w:eastAsia="仿宋_GB2312"/>
          <w:sz w:val="32"/>
        </w:rPr>
      </w:pPr>
      <w:r>
        <w:rPr>
          <w:rFonts w:hint="eastAsia" w:ascii="仿宋_GB2312" w:hAnsi="微软雅黑" w:eastAsia="仿宋_GB2312"/>
          <w:sz w:val="32"/>
        </w:rPr>
        <w:t>15. 公共安全（类）司法（款）司法统一考试（项）：是指用于举办司法考试统一考试所需的支出，包括考试资料费、组织考试的差旅费等。</w:t>
      </w:r>
    </w:p>
    <w:p>
      <w:pPr>
        <w:ind w:firstLine="640"/>
        <w:rPr>
          <w:rFonts w:ascii="仿宋_GB2312" w:hAnsi="微软雅黑" w:eastAsia="仿宋_GB2312"/>
          <w:sz w:val="32"/>
        </w:rPr>
      </w:pPr>
      <w:r>
        <w:rPr>
          <w:rFonts w:hint="eastAsia" w:ascii="仿宋_GB2312" w:hAnsi="微软雅黑" w:eastAsia="仿宋_GB2312"/>
          <w:sz w:val="32"/>
        </w:rPr>
        <w:t>16.公共安全（类）司法（款）其他司法支出（项）：是指司法行政部门发生的司法协助费、司法推广的宣传推广培训费等支出。</w:t>
      </w:r>
    </w:p>
    <w:p>
      <w:pPr>
        <w:ind w:firstLine="640"/>
        <w:rPr>
          <w:rFonts w:ascii="仿宋_GB2312" w:hAnsi="微软雅黑" w:eastAsia="仿宋_GB2312"/>
          <w:sz w:val="32"/>
        </w:rPr>
      </w:pPr>
      <w:r>
        <w:rPr>
          <w:rFonts w:hint="eastAsia" w:ascii="仿宋_GB2312" w:hAnsi="微软雅黑" w:eastAsia="仿宋_GB2312"/>
          <w:sz w:val="32"/>
        </w:rPr>
        <w:t>17. 社会保障和就业（类）行政事业单位离退休（款）未归口管理的行政单位离退休（项）：是指保障局机关离退休人员经费支出。</w:t>
      </w:r>
    </w:p>
    <w:p>
      <w:pPr>
        <w:ind w:firstLine="640"/>
        <w:rPr>
          <w:rFonts w:ascii="仿宋_GB2312" w:hAnsi="微软雅黑" w:eastAsia="仿宋_GB2312"/>
          <w:sz w:val="32"/>
        </w:rPr>
      </w:pPr>
      <w:r>
        <w:rPr>
          <w:rFonts w:hint="eastAsia" w:ascii="仿宋_GB2312" w:hAnsi="微软雅黑" w:eastAsia="仿宋_GB2312"/>
          <w:sz w:val="32"/>
        </w:rPr>
        <w:t>18. 社会保障和就业（类）行政事业单位离退休（款）机关事业单位基本养老保险缴费支出（项）：指实施养老保险制度后，部门按规定由单位缴纳的基本养老保险费支出。</w:t>
      </w:r>
    </w:p>
    <w:p>
      <w:pPr>
        <w:ind w:firstLine="640"/>
        <w:rPr>
          <w:rFonts w:ascii="仿宋_GB2312" w:hAnsi="微软雅黑" w:eastAsia="仿宋_GB2312"/>
          <w:sz w:val="32"/>
        </w:rPr>
      </w:pPr>
      <w:r>
        <w:rPr>
          <w:rFonts w:hint="eastAsia" w:ascii="仿宋_GB2312" w:hAnsi="微软雅黑" w:eastAsia="仿宋_GB2312"/>
          <w:sz w:val="32"/>
        </w:rPr>
        <w:t>19. 医疗卫生与计划生育（类）行政事业单位医疗（款）行政单位医疗（项）：是指局机关及参公管理事业单位基本医疗保险缴费支出。</w:t>
      </w:r>
    </w:p>
    <w:p>
      <w:pPr>
        <w:ind w:firstLine="640"/>
        <w:rPr>
          <w:rFonts w:ascii="仿宋_GB2312" w:hAnsi="Calibri" w:eastAsia="仿宋_GB2312"/>
          <w:sz w:val="32"/>
        </w:rPr>
      </w:pPr>
      <w:r>
        <w:rPr>
          <w:rFonts w:hint="eastAsia" w:ascii="仿宋_GB2312" w:hAnsi="黑体" w:eastAsia="仿宋_GB2312"/>
          <w:sz w:val="32"/>
        </w:rPr>
        <w:t>20. 医疗卫生与计划生育（类）行政事业单位医疗（款）事业单位医疗（项）：</w:t>
      </w:r>
      <w:r>
        <w:rPr>
          <w:rFonts w:hint="eastAsia" w:ascii="仿宋_GB2312" w:hAnsi="Calibri" w:eastAsia="仿宋_GB2312"/>
          <w:sz w:val="32"/>
        </w:rPr>
        <w:t>是指部门下属事业单位基本医疗保险缴费支出。</w:t>
      </w:r>
    </w:p>
    <w:p>
      <w:pPr>
        <w:ind w:firstLine="640"/>
        <w:rPr>
          <w:rFonts w:ascii="仿宋_GB2312" w:hAnsi="Calibri" w:eastAsia="仿宋_GB2312"/>
          <w:sz w:val="32"/>
        </w:rPr>
      </w:pPr>
      <w:r>
        <w:rPr>
          <w:rFonts w:hint="eastAsia" w:ascii="仿宋_GB2312" w:hAnsi="黑体" w:eastAsia="仿宋_GB2312"/>
          <w:sz w:val="32"/>
        </w:rPr>
        <w:t>21. 住房保障（类）住房改革支出（款）住房公积金（项）：</w:t>
      </w:r>
      <w:r>
        <w:rPr>
          <w:rFonts w:hint="eastAsia" w:ascii="仿宋_GB2312" w:hAnsi="Calibri" w:eastAsia="仿宋_GB2312"/>
          <w:sz w:val="32"/>
        </w:rPr>
        <w:t>是指部门按规定的工资总额以及规定比例为职工缴纳的住房公积金支出。</w:t>
      </w:r>
    </w:p>
    <w:p>
      <w:pPr>
        <w:ind w:firstLine="632" w:firstLineChars="200"/>
        <w:rPr>
          <w:rFonts w:ascii="仿宋_GB2312" w:eastAsia="仿宋_GB2312"/>
          <w:color w:val="000000"/>
          <w:sz w:val="32"/>
          <w:szCs w:val="32"/>
        </w:rPr>
      </w:pPr>
      <w:r>
        <w:rPr>
          <w:rFonts w:hint="eastAsia" w:ascii="仿宋_GB2312" w:eastAsia="仿宋_GB2312"/>
          <w:color w:val="000000"/>
          <w:sz w:val="32"/>
          <w:szCs w:val="32"/>
        </w:rPr>
        <w:t>22</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32" w:firstLineChars="200"/>
        <w:rPr>
          <w:rFonts w:ascii="仿宋_GB2312" w:eastAsia="仿宋_GB2312"/>
          <w:color w:val="000000"/>
          <w:sz w:val="32"/>
          <w:szCs w:val="32"/>
        </w:rPr>
      </w:pPr>
      <w:r>
        <w:rPr>
          <w:rFonts w:hint="eastAsia" w:ascii="仿宋_GB2312" w:eastAsia="仿宋_GB2312"/>
          <w:color w:val="000000"/>
          <w:sz w:val="32"/>
          <w:szCs w:val="32"/>
        </w:rPr>
        <w:t>23</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p>
    <w:p>
      <w:pPr>
        <w:ind w:firstLine="632" w:firstLineChars="200"/>
        <w:rPr>
          <w:rFonts w:ascii="仿宋_GB2312" w:eastAsia="仿宋_GB2312"/>
          <w:color w:val="000000"/>
          <w:sz w:val="32"/>
          <w:szCs w:val="32"/>
        </w:rPr>
      </w:pPr>
      <w:r>
        <w:rPr>
          <w:rFonts w:hint="eastAsia" w:ascii="仿宋_GB2312" w:eastAsia="仿宋_GB2312"/>
          <w:color w:val="000000"/>
          <w:sz w:val="32"/>
          <w:szCs w:val="32"/>
        </w:rPr>
        <w:t>24</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28"/>
        <w:ind w:firstLine="632" w:firstLineChars="200"/>
        <w:rPr>
          <w:rFonts w:ascii="仿宋_GB2312" w:eastAsia="仿宋_GB2312"/>
          <w:sz w:val="32"/>
          <w:szCs w:val="32"/>
        </w:rPr>
      </w:pPr>
      <w:r>
        <w:rPr>
          <w:rFonts w:hint="eastAsia" w:ascii="仿宋_GB2312" w:eastAsia="仿宋_GB2312"/>
          <w:sz w:val="32"/>
          <w:szCs w:val="32"/>
        </w:rPr>
        <w:t>25</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8"/>
        <w:ind w:firstLine="632" w:firstLineChars="200"/>
        <w:rPr>
          <w:rFonts w:ascii="仿宋_GB2312" w:eastAsia="仿宋_GB2312"/>
          <w:sz w:val="32"/>
          <w:szCs w:val="32"/>
        </w:rPr>
      </w:pPr>
      <w:r>
        <w:rPr>
          <w:rFonts w:hint="eastAsia" w:ascii="仿宋_GB2312" w:eastAsia="仿宋_GB2312"/>
          <w:sz w:val="32"/>
          <w:szCs w:val="32"/>
        </w:rPr>
        <w:t>26</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jc w:val="center"/>
        <w:outlineLvl w:val="0"/>
        <w:rPr>
          <w:rStyle w:val="19"/>
          <w:rFonts w:ascii="黑体" w:hAnsi="黑体" w:eastAsia="黑体"/>
          <w:b w:val="0"/>
        </w:rPr>
      </w:pPr>
      <w:bookmarkStart w:id="57" w:name="_Toc15377226"/>
      <w:r>
        <w:rPr>
          <w:rFonts w:ascii="宋体"/>
          <w:b/>
          <w:color w:val="000000"/>
          <w:sz w:val="44"/>
          <w:szCs w:val="44"/>
        </w:rPr>
        <w:br w:type="page"/>
      </w:r>
      <w:bookmarkStart w:id="58" w:name="_Toc15396614"/>
      <w:r>
        <w:rPr>
          <w:rFonts w:hint="eastAsia" w:ascii="黑体" w:hAnsi="黑体" w:eastAsia="黑体"/>
          <w:color w:val="000000"/>
          <w:sz w:val="44"/>
          <w:szCs w:val="44"/>
        </w:rPr>
        <w:t>第</w:t>
      </w:r>
      <w:r>
        <w:rPr>
          <w:rStyle w:val="19"/>
          <w:rFonts w:hint="eastAsia" w:ascii="黑体" w:hAnsi="黑体" w:eastAsia="黑体"/>
          <w:b w:val="0"/>
        </w:rPr>
        <w:t>四部分</w:t>
      </w:r>
      <w:r>
        <w:rPr>
          <w:rStyle w:val="19"/>
          <w:rFonts w:ascii="黑体" w:hAnsi="黑体" w:eastAsia="黑体"/>
          <w:b w:val="0"/>
        </w:rPr>
        <w:t xml:space="preserve"> </w:t>
      </w:r>
      <w:r>
        <w:rPr>
          <w:rStyle w:val="19"/>
          <w:rFonts w:hint="eastAsia" w:ascii="黑体" w:hAnsi="黑体" w:eastAsia="黑体"/>
          <w:b w:val="0"/>
        </w:rPr>
        <w:t>附件</w:t>
      </w:r>
      <w:bookmarkEnd w:id="58"/>
    </w:p>
    <w:p>
      <w:pPr>
        <w:jc w:val="center"/>
        <w:outlineLvl w:val="0"/>
        <w:rPr>
          <w:rStyle w:val="19"/>
        </w:rPr>
      </w:pPr>
    </w:p>
    <w:p>
      <w:pPr>
        <w:pStyle w:val="3"/>
        <w:spacing w:line="240" w:lineRule="auto"/>
        <w:rPr>
          <w:rStyle w:val="19"/>
          <w:rFonts w:ascii="仿宋" w:hAnsi="仿宋" w:eastAsia="仿宋"/>
          <w:b w:val="0"/>
          <w:bCs w:val="0"/>
          <w:sz w:val="32"/>
          <w:szCs w:val="32"/>
        </w:rPr>
      </w:pPr>
      <w:bookmarkStart w:id="59" w:name="_Toc15396615"/>
      <w:r>
        <w:rPr>
          <w:rStyle w:val="19"/>
          <w:rFonts w:hint="eastAsia" w:ascii="仿宋" w:hAnsi="仿宋" w:eastAsia="仿宋"/>
          <w:b w:val="0"/>
          <w:bCs w:val="0"/>
          <w:sz w:val="32"/>
          <w:szCs w:val="32"/>
        </w:rPr>
        <w:t>附件</w:t>
      </w:r>
      <w:r>
        <w:rPr>
          <w:rStyle w:val="19"/>
          <w:rFonts w:ascii="仿宋" w:hAnsi="仿宋" w:eastAsia="仿宋"/>
          <w:b w:val="0"/>
          <w:bCs w:val="0"/>
          <w:sz w:val="32"/>
          <w:szCs w:val="32"/>
        </w:rPr>
        <w:t>1</w:t>
      </w:r>
      <w:bookmarkEnd w:id="59"/>
    </w:p>
    <w:p>
      <w:pPr>
        <w:jc w:val="center"/>
        <w:outlineLvl w:val="0"/>
        <w:rPr>
          <w:rFonts w:ascii="黑体" w:hAnsi="黑体" w:eastAsia="黑体" w:cs="方正小标宋简体"/>
          <w:sz w:val="36"/>
          <w:szCs w:val="36"/>
        </w:rPr>
      </w:pPr>
      <w:bookmarkStart w:id="60" w:name="_Toc15396616"/>
      <w:r>
        <w:rPr>
          <w:rFonts w:hint="eastAsia" w:ascii="黑体" w:hAnsi="黑体" w:eastAsia="黑体" w:cs="方正小标宋简体"/>
          <w:sz w:val="36"/>
          <w:szCs w:val="36"/>
        </w:rPr>
        <w:t>遂宁市司法局</w:t>
      </w:r>
      <w:r>
        <w:rPr>
          <w:rFonts w:ascii="黑体" w:hAnsi="黑体" w:eastAsia="黑体" w:cs="方正小标宋简体"/>
          <w:sz w:val="36"/>
          <w:szCs w:val="36"/>
        </w:rPr>
        <w:t>2018</w:t>
      </w:r>
      <w:r>
        <w:rPr>
          <w:rFonts w:hint="eastAsia" w:ascii="黑体" w:hAnsi="黑体" w:eastAsia="黑体" w:cs="方正小标宋简体"/>
          <w:sz w:val="36"/>
          <w:szCs w:val="36"/>
        </w:rPr>
        <w:t>年部门整体支出绩效评价报告</w:t>
      </w:r>
      <w:bookmarkEnd w:id="60"/>
    </w:p>
    <w:p>
      <w:pPr>
        <w:ind w:firstLine="632" w:firstLineChars="200"/>
        <w:rPr>
          <w:rFonts w:ascii="黑体" w:hAnsi="黑体" w:eastAsia="黑体" w:cs="黑体"/>
          <w:sz w:val="32"/>
          <w:szCs w:val="32"/>
        </w:rPr>
      </w:pPr>
    </w:p>
    <w:p>
      <w:pPr>
        <w:ind w:firstLine="632" w:firstLineChars="200"/>
        <w:rPr>
          <w:rFonts w:ascii="黑体" w:hAnsi="黑体" w:eastAsia="黑体" w:cs="黑体"/>
          <w:sz w:val="32"/>
          <w:szCs w:val="32"/>
        </w:rPr>
      </w:pPr>
      <w:r>
        <w:rPr>
          <w:rFonts w:hint="eastAsia" w:ascii="黑体" w:hAnsi="黑体" w:eastAsia="黑体" w:cs="黑体"/>
          <w:sz w:val="32"/>
          <w:szCs w:val="32"/>
        </w:rPr>
        <w:t>一、部门（单位）概况</w:t>
      </w:r>
    </w:p>
    <w:p>
      <w:pPr>
        <w:ind w:firstLine="632" w:firstLineChars="200"/>
        <w:rPr>
          <w:rFonts w:ascii="仿宋" w:hAnsi="仿宋" w:eastAsia="仿宋" w:cs="仿宋_GB2312"/>
          <w:sz w:val="32"/>
          <w:szCs w:val="32"/>
        </w:rPr>
      </w:pPr>
      <w:r>
        <w:rPr>
          <w:rFonts w:hint="eastAsia" w:ascii="仿宋" w:hAnsi="仿宋" w:eastAsia="仿宋" w:cs="仿宋_GB2312"/>
          <w:sz w:val="32"/>
          <w:szCs w:val="32"/>
        </w:rPr>
        <w:t>（一）机构组成。</w:t>
      </w:r>
    </w:p>
    <w:p>
      <w:pPr>
        <w:pStyle w:val="12"/>
        <w:spacing w:before="0" w:beforeAutospacing="0" w:after="0" w:afterAutospacing="0" w:line="580" w:lineRule="exact"/>
        <w:ind w:firstLine="640"/>
        <w:jc w:val="both"/>
        <w:rPr>
          <w:rFonts w:ascii="仿宋_GB2312" w:hAnsi="仿宋" w:eastAsia="仿宋_GB2312"/>
          <w:sz w:val="32"/>
          <w:szCs w:val="32"/>
        </w:rPr>
      </w:pPr>
      <w:r>
        <w:rPr>
          <w:rFonts w:hint="eastAsia" w:ascii="仿宋_GB2312" w:hAnsi="仿宋" w:eastAsia="仿宋_GB2312"/>
          <w:sz w:val="32"/>
          <w:szCs w:val="32"/>
        </w:rPr>
        <w:t>遂宁市司法局属财政一级预算单位。</w:t>
      </w:r>
    </w:p>
    <w:p>
      <w:pPr>
        <w:spacing w:line="600" w:lineRule="exact"/>
        <w:ind w:firstLine="632" w:firstLineChars="200"/>
        <w:rPr>
          <w:rFonts w:ascii="仿宋_GB2312" w:hAnsi="仿宋" w:eastAsia="仿宋_GB2312"/>
          <w:sz w:val="32"/>
          <w:szCs w:val="32"/>
        </w:rPr>
      </w:pPr>
      <w:r>
        <w:rPr>
          <w:rFonts w:hint="eastAsia" w:ascii="仿宋_GB2312" w:hAnsi="仿宋" w:eastAsia="仿宋_GB2312"/>
          <w:sz w:val="32"/>
          <w:szCs w:val="32"/>
        </w:rPr>
        <w:t>（1）办公室。处理市司法局日常政务和事务。负责本机关文电、会务、接待、后勤服务、机要、档案、保密、信访、绩效管理、信息宣传、政务公开、政府信息公开、司法行政舆情管理、综治维稳、安全生产、职业健康、生态环境保护等工作。承担综合公文的起草审核、重大政务督办、史志年鉴编纂等工作。组织办理人大代表建议、政协委员提案。</w:t>
      </w:r>
    </w:p>
    <w:p>
      <w:pPr>
        <w:spacing w:line="600" w:lineRule="exact"/>
        <w:ind w:firstLine="632" w:firstLineChars="200"/>
        <w:rPr>
          <w:rFonts w:ascii="仿宋_GB2312" w:hAnsi="仿宋" w:eastAsia="仿宋_GB2312"/>
          <w:sz w:val="32"/>
          <w:szCs w:val="32"/>
        </w:rPr>
      </w:pPr>
      <w:r>
        <w:rPr>
          <w:rFonts w:hint="eastAsia" w:ascii="仿宋_GB2312" w:hAnsi="仿宋" w:eastAsia="仿宋_GB2312"/>
          <w:sz w:val="32"/>
          <w:szCs w:val="32"/>
        </w:rPr>
        <w:t>（2）法治督察调研科。开展全面依法治市理论与实践调查研究工作，提出政策建议。承办全面依法治市工作规划建议的协调工作。组织起草全面依法治市有关重要文件。研究提出建设法治政府、推进依法行政的意见和措施。研究提出法治领域深化改革的意见和措施。拟订全面依法治市决策部署的年度督察工作计划，开展重大专项督察，提出督察意见、问责建议。接受各县（区）政府、市政府各部门和市直园区管委会法治工作重要决定和方案的备案。规划、协调、指导法治人才队伍建设相关工作。拟订本系统发展战略、发展规划、重大政策。推进司法行政改革。</w:t>
      </w:r>
    </w:p>
    <w:p>
      <w:pPr>
        <w:spacing w:line="600" w:lineRule="exact"/>
        <w:ind w:firstLine="632" w:firstLineChars="200"/>
        <w:rPr>
          <w:rFonts w:ascii="仿宋_GB2312" w:hAnsi="仿宋" w:eastAsia="仿宋_GB2312"/>
          <w:sz w:val="32"/>
          <w:szCs w:val="32"/>
        </w:rPr>
      </w:pPr>
      <w:r>
        <w:rPr>
          <w:rFonts w:hint="eastAsia" w:ascii="仿宋_GB2312" w:hAnsi="仿宋" w:eastAsia="仿宋_GB2312"/>
          <w:sz w:val="32"/>
          <w:szCs w:val="32"/>
        </w:rPr>
        <w:t>（3）行政立法科。承办行政立法规划和年度行政立法计划建议的协调工作，向有关方面和社会征集行政立法项目建议意见，组织拟订市政府年度行政立法工作计划建议。承担地方性法规、市政府规章的草案起草或者组织起草、审查和市政府规章的解释、具体应用问题的答复工作。组织开展市政府规章的清理、编纂、翻译工作和行政立法后评估工作。承办相关法律、法规草案的征求意见回复工作。</w:t>
      </w:r>
    </w:p>
    <w:p>
      <w:pPr>
        <w:spacing w:line="600" w:lineRule="exact"/>
        <w:ind w:firstLine="632" w:firstLineChars="200"/>
        <w:rPr>
          <w:rFonts w:ascii="仿宋_GB2312" w:hAnsi="仿宋" w:eastAsia="仿宋_GB2312"/>
          <w:sz w:val="32"/>
          <w:szCs w:val="32"/>
        </w:rPr>
      </w:pPr>
      <w:r>
        <w:rPr>
          <w:rFonts w:hint="eastAsia" w:ascii="仿宋_GB2312" w:hAnsi="仿宋" w:eastAsia="仿宋_GB2312"/>
          <w:sz w:val="32"/>
          <w:szCs w:val="32"/>
        </w:rPr>
        <w:t>（4）合法性审查科。负责市委、市政府规范性文件、重大行政决策发布前的合法性审查。承办市政府规范性文件的报送备案工作。负责各县（区）政府、市政府各部门和市直园区管委会规范性文件报送市政府的备案审查工作。组织开展规范性文件清理。负责市本级政府合同管理、市政府涉法事务处理。</w:t>
      </w:r>
    </w:p>
    <w:p>
      <w:pPr>
        <w:spacing w:line="600" w:lineRule="exact"/>
        <w:ind w:firstLine="632" w:firstLineChars="200"/>
        <w:rPr>
          <w:rFonts w:ascii="仿宋_GB2312" w:hAnsi="仿宋" w:eastAsia="仿宋_GB2312"/>
          <w:sz w:val="32"/>
          <w:szCs w:val="32"/>
        </w:rPr>
      </w:pPr>
      <w:r>
        <w:rPr>
          <w:rFonts w:hint="eastAsia" w:ascii="仿宋_GB2312" w:hAnsi="仿宋" w:eastAsia="仿宋_GB2312"/>
          <w:sz w:val="32"/>
          <w:szCs w:val="32"/>
        </w:rPr>
        <w:t>（5）社区矫正管理科（戒毒工作指导科）。监督检查社区矫正法律、法规、规章和政策的执行工作。监督对社区矫正对象的刑罚执行、管理教育和帮扶工作。指导社会力量和志愿者参与社区矫正工作。指导对刑满释放人员的帮教安置工作。指导监督本系统强制隔离戒毒执行和戒毒康复工作。指导、支持和协助社区戒毒和社区康复工作。</w:t>
      </w:r>
    </w:p>
    <w:p>
      <w:pPr>
        <w:spacing w:line="600" w:lineRule="exact"/>
        <w:ind w:firstLine="632" w:firstLineChars="200"/>
        <w:rPr>
          <w:rFonts w:ascii="仿宋_GB2312" w:hAnsi="仿宋" w:eastAsia="仿宋_GB2312"/>
          <w:sz w:val="32"/>
          <w:szCs w:val="32"/>
        </w:rPr>
      </w:pPr>
      <w:r>
        <w:rPr>
          <w:rFonts w:hint="eastAsia" w:ascii="仿宋_GB2312" w:hAnsi="仿宋" w:eastAsia="仿宋_GB2312"/>
          <w:sz w:val="32"/>
          <w:szCs w:val="32"/>
        </w:rPr>
        <w:t>（6）行政复议与应诉科。监督协调全市行政复议、行政诉讼、行政裁决、行政赔偿工作。办理向市政府申请的行政复议案件。受市政府委托承办市政府为被告的行政诉讼及民事诉讼案件并出庭应诉。办理省政府裁决案件和市信访复查复核委员会案件。办理向市政府申请行政赔偿的案件。办理向市司法局申请的行政赔偿案件和以市司法局为被告的诉讼案件。承担市政府行政复议委员会办公室日常工作。</w:t>
      </w:r>
    </w:p>
    <w:p>
      <w:pPr>
        <w:spacing w:line="600" w:lineRule="exact"/>
        <w:ind w:firstLine="632" w:firstLineChars="200"/>
        <w:rPr>
          <w:rFonts w:ascii="仿宋_GB2312" w:hAnsi="仿宋" w:eastAsia="仿宋_GB2312"/>
          <w:sz w:val="32"/>
          <w:szCs w:val="32"/>
        </w:rPr>
      </w:pPr>
      <w:r>
        <w:rPr>
          <w:rFonts w:hint="eastAsia" w:ascii="仿宋_GB2312" w:hAnsi="仿宋" w:eastAsia="仿宋_GB2312"/>
          <w:sz w:val="32"/>
          <w:szCs w:val="32"/>
        </w:rPr>
        <w:t>（7）行政执法协调监督科（外来企业投诉科）。负责全市行政执法的综合协调、监督检查和评价工作。协调行政执法体制改革和行政执法的普遍性重要性问题。负责全市行政执法人员、执法监督人员的资格和证件管理，推进严格规范公正文明执法。协调各县（区）、各部门在执法中产生的重大矛盾和争议。办理有关行政执法投诉举报案件。指导监督全市外来企业投诉处理工作。为外来企业、民营企业及投资者提供法律、政策咨询服务。依法组织调解和协调，帮助外来企业维护其合法权益。会同有关部门对外来企业投诉事项进行调查核实，提出处理意见。</w:t>
      </w:r>
    </w:p>
    <w:p>
      <w:pPr>
        <w:spacing w:line="600" w:lineRule="exact"/>
        <w:ind w:firstLine="632" w:firstLineChars="200"/>
        <w:rPr>
          <w:rFonts w:ascii="仿宋_GB2312" w:hAnsi="仿宋" w:eastAsia="仿宋_GB2312"/>
          <w:sz w:val="32"/>
          <w:szCs w:val="32"/>
        </w:rPr>
      </w:pPr>
      <w:r>
        <w:rPr>
          <w:rFonts w:hint="eastAsia" w:ascii="仿宋_GB2312" w:hAnsi="仿宋" w:eastAsia="仿宋_GB2312"/>
          <w:sz w:val="32"/>
          <w:szCs w:val="32"/>
        </w:rPr>
        <w:t>（8）普法与依法治理科。拟订法治宣传教育规划并组织实施。指导监督各地、各部门“谁执法谁普法”的普法责任制落实工作。指导监督国家工作人员学法用法工作，推进全民普法。承担市政府常务会议会前学法工作。指导各地、各部门、各行业依法治理和法治创建工作。组织对外法治宣传。指导社会主义法治文化建设。</w:t>
      </w:r>
    </w:p>
    <w:p>
      <w:pPr>
        <w:spacing w:line="600" w:lineRule="exact"/>
        <w:ind w:firstLine="632" w:firstLineChars="200"/>
        <w:rPr>
          <w:rFonts w:ascii="仿宋_GB2312" w:hAnsi="仿宋" w:eastAsia="仿宋_GB2312"/>
          <w:sz w:val="32"/>
          <w:szCs w:val="32"/>
        </w:rPr>
      </w:pPr>
      <w:r>
        <w:rPr>
          <w:rFonts w:hint="eastAsia" w:ascii="仿宋_GB2312" w:hAnsi="仿宋" w:eastAsia="仿宋_GB2312"/>
          <w:sz w:val="32"/>
          <w:szCs w:val="32"/>
        </w:rPr>
        <w:t>（9）人民参与和促进法治科。拟订保障人民群众参与、促进、监督法治建设的制度措施。指导人民团体、群众自治组织和社会组织参与、支持法治社会建设工作。指导人民调解、行政调解和行业性专业性调解工作。负责并指导人民监督员选任管理工作。指导监督人民陪审员选任工作。推进司法所建设。</w:t>
      </w:r>
    </w:p>
    <w:p>
      <w:pPr>
        <w:spacing w:line="600" w:lineRule="exact"/>
        <w:ind w:firstLine="632" w:firstLineChars="200"/>
        <w:rPr>
          <w:rFonts w:ascii="仿宋_GB2312" w:hAnsi="仿宋" w:eastAsia="仿宋_GB2312"/>
          <w:sz w:val="32"/>
          <w:szCs w:val="32"/>
        </w:rPr>
      </w:pPr>
      <w:r>
        <w:rPr>
          <w:rFonts w:hint="eastAsia" w:ascii="仿宋_GB2312" w:hAnsi="仿宋" w:eastAsia="仿宋_GB2312"/>
          <w:sz w:val="32"/>
          <w:szCs w:val="32"/>
        </w:rPr>
        <w:t>（10）公共法律服务管理科（行政审批科）。负责规划和推进公共法律服务体系和平台建设工作。监督管理法律援助、司法鉴定、公证、仲裁工作。编制遂宁市司法鉴定、公证和仲裁名册并公告。监督管理律师和律师事务所工作。承办特许执业律师的审核报批工作。指导监督党政机关、企事业单位法律顾问工作。管理公职律师、公司律师工作。指导监督基层法律服务工作。指导社会组织和志愿者开展法律服务工作。推进本系统行政审批制度改革，负责本部门“放管服”改革工作。办理市司法局行政许可事项。承担本部门政务服务事项的清理和纳入电子政务平台的工作，推进行政权力依法规范运行。规划和组织实施全市国家统一法律职业资格考试工作。负责全市国家统一法律职业资格申请、审核、报批、发证、档案建立使用、违纪违规处理等管理工作。组织实施法律职业人员入职前培训工作。</w:t>
      </w:r>
    </w:p>
    <w:p>
      <w:pPr>
        <w:spacing w:line="600" w:lineRule="exact"/>
        <w:ind w:firstLine="632" w:firstLineChars="200"/>
        <w:rPr>
          <w:rFonts w:ascii="仿宋_GB2312" w:hAnsi="仿宋" w:eastAsia="仿宋_GB2312"/>
          <w:sz w:val="32"/>
          <w:szCs w:val="32"/>
        </w:rPr>
      </w:pPr>
      <w:r>
        <w:rPr>
          <w:rFonts w:hint="eastAsia" w:ascii="仿宋_GB2312" w:hAnsi="仿宋" w:eastAsia="仿宋_GB2312"/>
          <w:sz w:val="32"/>
          <w:szCs w:val="32"/>
        </w:rPr>
        <w:t>（11）装备财务保障科（科技信息科）。指导本系统财务、物资装备和基本建设管理工作。指导监督本系统中央和省级、市级政法补助专款和基建投资的使用工作。负责本系统服装和警车等监督管理工作。负责本部门的预决算、财务管理、国有资产管理、政府采购、基本建设和网络信息安全工作。指导推进本系统科技与信息化工作。拟订本系统电子政务和科技信息化发展规划、技术标准并协调落实。负责本部门科技信息化基础建设和涉及重大信息化项目的规划、设计、实施和管理。</w:t>
      </w:r>
    </w:p>
    <w:p>
      <w:pPr>
        <w:spacing w:line="600" w:lineRule="exact"/>
        <w:ind w:firstLine="632" w:firstLineChars="200"/>
        <w:rPr>
          <w:rFonts w:ascii="仿宋_GB2312" w:hAnsi="仿宋" w:eastAsia="仿宋_GB2312"/>
          <w:sz w:val="32"/>
          <w:szCs w:val="32"/>
        </w:rPr>
      </w:pPr>
      <w:r>
        <w:rPr>
          <w:rFonts w:hint="eastAsia" w:ascii="仿宋_GB2312" w:hAnsi="仿宋" w:eastAsia="仿宋_GB2312"/>
          <w:sz w:val="32"/>
          <w:szCs w:val="32"/>
        </w:rPr>
        <w:t>（12）政治部（警务部）。负责本系统党的建设、班子队伍建设工作。负责本系统机构编制、干部人事、教育培训、文化建设工作。承办县（区）司法局领导干部的协管工作。负责本系统人民警察警务管理和警务督察工作。负责全市行政执法人员、执法监督人员的培训、考试工作。</w:t>
      </w:r>
    </w:p>
    <w:p>
      <w:pPr>
        <w:spacing w:line="600" w:lineRule="exact"/>
        <w:ind w:firstLine="632" w:firstLineChars="200"/>
        <w:rPr>
          <w:rFonts w:ascii="仿宋_GB2312" w:hAnsi="仿宋" w:eastAsia="仿宋_GB2312"/>
          <w:sz w:val="32"/>
          <w:szCs w:val="32"/>
        </w:rPr>
      </w:pPr>
      <w:r>
        <w:rPr>
          <w:rFonts w:hint="eastAsia" w:ascii="仿宋_GB2312" w:hAnsi="仿宋" w:eastAsia="仿宋_GB2312"/>
          <w:sz w:val="32"/>
          <w:szCs w:val="32"/>
        </w:rPr>
        <w:t>（13）机关党委。负责机关和所属事业单位的党群工作和离退休人员工作。负责机关党风廉政建设和纪律作风建设工作。联系指导大英监狱党建工作。机关党委办事机构按照市委有关规定设置。</w:t>
      </w:r>
    </w:p>
    <w:p>
      <w:pPr>
        <w:ind w:firstLine="632" w:firstLineChars="200"/>
        <w:rPr>
          <w:rFonts w:ascii="仿宋" w:hAnsi="仿宋" w:eastAsia="仿宋" w:cs="仿宋_GB2312"/>
          <w:sz w:val="32"/>
          <w:szCs w:val="32"/>
        </w:rPr>
      </w:pPr>
      <w:r>
        <w:rPr>
          <w:rFonts w:hint="eastAsia" w:ascii="仿宋" w:hAnsi="仿宋" w:eastAsia="仿宋" w:cs="仿宋_GB2312"/>
          <w:sz w:val="32"/>
          <w:szCs w:val="32"/>
        </w:rPr>
        <w:t>（二）机构职能。</w:t>
      </w:r>
    </w:p>
    <w:p>
      <w:pPr>
        <w:spacing w:line="600" w:lineRule="exact"/>
        <w:ind w:firstLine="632" w:firstLineChars="200"/>
        <w:rPr>
          <w:rFonts w:ascii="仿宋_GB2312" w:hAnsi="仿宋" w:eastAsia="仿宋_GB2312"/>
          <w:sz w:val="32"/>
          <w:szCs w:val="32"/>
        </w:rPr>
      </w:pPr>
      <w:r>
        <w:rPr>
          <w:rFonts w:hint="eastAsia" w:ascii="仿宋_GB2312" w:hAnsi="仿宋" w:eastAsia="仿宋_GB2312"/>
          <w:sz w:val="32"/>
          <w:szCs w:val="32"/>
        </w:rPr>
        <w:t>（1）承担全面依法治市重大问题的政策研究，协调有关方面提出全面依法治市规划建议，负责有关重大决策部署督察工作。</w:t>
      </w:r>
    </w:p>
    <w:p>
      <w:pPr>
        <w:spacing w:line="600" w:lineRule="exact"/>
        <w:ind w:firstLine="632" w:firstLineChars="200"/>
        <w:rPr>
          <w:rFonts w:ascii="仿宋_GB2312" w:hAnsi="仿宋" w:eastAsia="仿宋_GB2312"/>
          <w:sz w:val="32"/>
          <w:szCs w:val="32"/>
        </w:rPr>
      </w:pPr>
      <w:r>
        <w:rPr>
          <w:rFonts w:hint="eastAsia" w:ascii="仿宋_GB2312" w:hAnsi="仿宋" w:eastAsia="仿宋_GB2312"/>
          <w:sz w:val="32"/>
          <w:szCs w:val="32"/>
        </w:rPr>
        <w:t>（2）承担统筹规划行政立法工作的责任。协调有关方面提出行政立法规划和年度行政立法工作计划的建议，负责跟踪了解各部门对行政立法工作计划的落实情况，加强组织实施和督促指导，研究提出行政立法与改革决策相衔接的意见、措施。负责面向社会征集地方性法规、规章制定项目建议。</w:t>
      </w:r>
    </w:p>
    <w:p>
      <w:pPr>
        <w:spacing w:line="600" w:lineRule="exact"/>
        <w:ind w:firstLine="632" w:firstLineChars="200"/>
        <w:rPr>
          <w:rFonts w:ascii="仿宋_GB2312" w:hAnsi="仿宋" w:eastAsia="仿宋_GB2312"/>
          <w:sz w:val="32"/>
          <w:szCs w:val="32"/>
        </w:rPr>
      </w:pPr>
      <w:r>
        <w:rPr>
          <w:rFonts w:hint="eastAsia" w:ascii="仿宋_GB2312" w:hAnsi="仿宋" w:eastAsia="仿宋_GB2312"/>
          <w:sz w:val="32"/>
          <w:szCs w:val="32"/>
        </w:rPr>
        <w:t>（3）负责起草或者组织起草地方性法规、市政府规章草案。负责市政府各部门报送市政府的地方性法规、规章草案的审查工作。负责行政立法协调。</w:t>
      </w:r>
    </w:p>
    <w:p>
      <w:pPr>
        <w:spacing w:line="600" w:lineRule="exact"/>
        <w:ind w:firstLine="632" w:firstLineChars="200"/>
        <w:rPr>
          <w:rFonts w:ascii="仿宋_GB2312" w:hAnsi="仿宋" w:eastAsia="仿宋_GB2312"/>
          <w:sz w:val="32"/>
          <w:szCs w:val="32"/>
        </w:rPr>
      </w:pPr>
      <w:r>
        <w:rPr>
          <w:rFonts w:hint="eastAsia" w:ascii="仿宋_GB2312" w:hAnsi="仿宋" w:eastAsia="仿宋_GB2312"/>
          <w:sz w:val="32"/>
          <w:szCs w:val="32"/>
        </w:rPr>
        <w:t>（4）承担市政府规章的解释、行政立法后评估工作。负责协调各地、各部门实施法律、法规、规章中的有关争议和问题。承办市政府规章的清理、编纂、翻译工作。承办市政府规章报送备案工作。</w:t>
      </w:r>
    </w:p>
    <w:p>
      <w:pPr>
        <w:spacing w:line="600" w:lineRule="exact"/>
        <w:ind w:firstLine="632" w:firstLineChars="200"/>
        <w:rPr>
          <w:rFonts w:ascii="仿宋_GB2312" w:hAnsi="仿宋" w:eastAsia="仿宋_GB2312"/>
          <w:sz w:val="32"/>
          <w:szCs w:val="32"/>
        </w:rPr>
      </w:pPr>
      <w:r>
        <w:rPr>
          <w:rFonts w:hint="eastAsia" w:ascii="仿宋_GB2312" w:hAnsi="仿宋" w:eastAsia="仿宋_GB2312"/>
          <w:sz w:val="32"/>
          <w:szCs w:val="32"/>
        </w:rPr>
        <w:t>（5）负责市委、市政府规范性文件、重大行政决策发布前的合法性审查。承办市政府规范性文件的报送备案工作。负责各县（区）政府和市政府各部门规范性文件报送市政府的备案审查工作。组织开展规范性文件清理。负责市本级政府合同管理、市政府涉法事务处理。</w:t>
      </w:r>
    </w:p>
    <w:p>
      <w:pPr>
        <w:spacing w:line="600" w:lineRule="exact"/>
        <w:ind w:firstLine="632" w:firstLineChars="200"/>
        <w:rPr>
          <w:rFonts w:ascii="仿宋_GB2312" w:hAnsi="仿宋" w:eastAsia="仿宋_GB2312"/>
          <w:sz w:val="32"/>
          <w:szCs w:val="32"/>
        </w:rPr>
      </w:pPr>
      <w:r>
        <w:rPr>
          <w:rFonts w:hint="eastAsia" w:ascii="仿宋_GB2312" w:hAnsi="仿宋" w:eastAsia="仿宋_GB2312"/>
          <w:sz w:val="32"/>
          <w:szCs w:val="32"/>
        </w:rPr>
        <w:t>（6）承担统筹推进法治政府建设的责任。监督指导各县（区）政府、市政府各部门、市直园区管委会依法行政工作。负责综合协调、监督检查行政执法，承担推进行政执法体制改革有关工作，推进严格规范公正文明执法。指导监督全市行政复议、行政应诉和行政赔偿工作，承办向市政府申请的行政复议、行政赔偿案件，代理市政府行政应诉案件。</w:t>
      </w:r>
    </w:p>
    <w:p>
      <w:pPr>
        <w:spacing w:line="600" w:lineRule="exact"/>
        <w:ind w:firstLine="632" w:firstLineChars="200"/>
        <w:rPr>
          <w:rFonts w:ascii="仿宋_GB2312" w:hAnsi="仿宋" w:eastAsia="仿宋_GB2312"/>
          <w:sz w:val="32"/>
          <w:szCs w:val="32"/>
        </w:rPr>
      </w:pPr>
      <w:r>
        <w:rPr>
          <w:rFonts w:hint="eastAsia" w:ascii="仿宋_GB2312" w:hAnsi="仿宋" w:eastAsia="仿宋_GB2312"/>
          <w:sz w:val="32"/>
          <w:szCs w:val="32"/>
        </w:rPr>
        <w:t>（7）承担统筹规划法治社会建设的责任。负责拟订法治宣传教育规划，组织实施普法宣传，组织对外法治宣传。推动人民参与和促进法治建设。指导依法治理和法治创建工作。指导调解工作。负责并指导人民监督员的选任管理工作。指导监督人民陪审员选任工作。推进司法所建设。</w:t>
      </w:r>
    </w:p>
    <w:p>
      <w:pPr>
        <w:spacing w:line="600" w:lineRule="exact"/>
        <w:ind w:firstLine="632" w:firstLineChars="200"/>
        <w:rPr>
          <w:rFonts w:ascii="仿宋_GB2312" w:hAnsi="仿宋" w:eastAsia="仿宋_GB2312"/>
          <w:sz w:val="32"/>
          <w:szCs w:val="32"/>
        </w:rPr>
      </w:pPr>
      <w:r>
        <w:rPr>
          <w:rFonts w:hint="eastAsia" w:ascii="仿宋_GB2312" w:hAnsi="仿宋" w:eastAsia="仿宋_GB2312"/>
          <w:sz w:val="32"/>
          <w:szCs w:val="32"/>
        </w:rPr>
        <w:t>（8）指导管理社区矫正工作。指导刑满释放人员帮教安置工作。</w:t>
      </w:r>
    </w:p>
    <w:p>
      <w:pPr>
        <w:spacing w:line="600" w:lineRule="exact"/>
        <w:ind w:firstLine="632" w:firstLineChars="200"/>
        <w:rPr>
          <w:rFonts w:ascii="仿宋_GB2312" w:hAnsi="仿宋" w:eastAsia="仿宋_GB2312"/>
          <w:sz w:val="32"/>
          <w:szCs w:val="32"/>
        </w:rPr>
      </w:pPr>
      <w:r>
        <w:rPr>
          <w:rFonts w:hint="eastAsia" w:ascii="仿宋_GB2312" w:hAnsi="仿宋" w:eastAsia="仿宋_GB2312"/>
          <w:sz w:val="32"/>
          <w:szCs w:val="32"/>
        </w:rPr>
        <w:t>（9）负责全市司法行政戒毒管理工作。指导监督本系统强制隔离戒毒执行和戒毒康复工作。对社区戒毒和社区康复工作提供指导、支持和协助。</w:t>
      </w:r>
    </w:p>
    <w:p>
      <w:pPr>
        <w:spacing w:line="600" w:lineRule="exact"/>
        <w:ind w:firstLine="632" w:firstLineChars="200"/>
        <w:rPr>
          <w:rFonts w:ascii="仿宋_GB2312" w:hAnsi="仿宋" w:eastAsia="仿宋_GB2312"/>
          <w:sz w:val="32"/>
          <w:szCs w:val="32"/>
        </w:rPr>
      </w:pPr>
      <w:r>
        <w:rPr>
          <w:rFonts w:hint="eastAsia" w:ascii="仿宋_GB2312" w:hAnsi="仿宋" w:eastAsia="仿宋_GB2312"/>
          <w:sz w:val="32"/>
          <w:szCs w:val="32"/>
        </w:rPr>
        <w:t>（10）负责拟订全市公共法律服务体系建设规划并指导实施，统筹和布局全市城乡、区域法律服务资源。指导监督律师、法律援助、司法鉴定、公证、仲裁和基层法律服务工作。</w:t>
      </w:r>
    </w:p>
    <w:p>
      <w:pPr>
        <w:spacing w:line="600" w:lineRule="exact"/>
        <w:ind w:firstLine="632" w:firstLineChars="200"/>
        <w:rPr>
          <w:rFonts w:ascii="仿宋_GB2312" w:hAnsi="仿宋" w:eastAsia="仿宋_GB2312"/>
          <w:sz w:val="32"/>
          <w:szCs w:val="32"/>
        </w:rPr>
      </w:pPr>
      <w:r>
        <w:rPr>
          <w:rFonts w:hint="eastAsia" w:ascii="仿宋_GB2312" w:hAnsi="仿宋" w:eastAsia="仿宋_GB2312"/>
          <w:sz w:val="32"/>
          <w:szCs w:val="32"/>
        </w:rPr>
        <w:t>（11）负责全市国家统一法律职业资格考试的组织实施工作。负责全市国家统一法律职业资格管理工作。负责规划和指导法律职业人员入职前培训工作。</w:t>
      </w:r>
    </w:p>
    <w:p>
      <w:pPr>
        <w:spacing w:line="600" w:lineRule="exact"/>
        <w:ind w:firstLine="632" w:firstLineChars="200"/>
        <w:rPr>
          <w:rFonts w:ascii="仿宋_GB2312" w:hAnsi="仿宋" w:eastAsia="仿宋_GB2312"/>
          <w:sz w:val="32"/>
          <w:szCs w:val="32"/>
        </w:rPr>
      </w:pPr>
      <w:r>
        <w:rPr>
          <w:rFonts w:hint="eastAsia" w:ascii="仿宋_GB2312" w:hAnsi="仿宋" w:eastAsia="仿宋_GB2312"/>
          <w:sz w:val="32"/>
          <w:szCs w:val="32"/>
        </w:rPr>
        <w:t>（12）负责本系统服装和警车管理工作。指导监督本系统财务、装备、设施、场所等保障工作。</w:t>
      </w:r>
    </w:p>
    <w:p>
      <w:pPr>
        <w:spacing w:line="600" w:lineRule="exact"/>
        <w:ind w:firstLine="632" w:firstLineChars="200"/>
        <w:rPr>
          <w:rFonts w:ascii="仿宋_GB2312" w:hAnsi="仿宋" w:eastAsia="仿宋_GB2312"/>
          <w:sz w:val="32"/>
          <w:szCs w:val="32"/>
        </w:rPr>
      </w:pPr>
      <w:r>
        <w:rPr>
          <w:rFonts w:hint="eastAsia" w:ascii="仿宋_GB2312" w:hAnsi="仿宋" w:eastAsia="仿宋_GB2312"/>
          <w:sz w:val="32"/>
          <w:szCs w:val="32"/>
        </w:rPr>
        <w:t>（13）规划、协调、指导法治人才队伍建设相关工作，指导监督本系统队伍建设。协助县（区）管理司法局领导干部。</w:t>
      </w:r>
    </w:p>
    <w:p>
      <w:pPr>
        <w:spacing w:line="600" w:lineRule="exact"/>
        <w:ind w:firstLine="632" w:firstLineChars="200"/>
        <w:rPr>
          <w:rFonts w:ascii="仿宋_GB2312" w:hAnsi="仿宋" w:eastAsia="仿宋_GB2312"/>
          <w:sz w:val="32"/>
          <w:szCs w:val="32"/>
        </w:rPr>
      </w:pPr>
      <w:r>
        <w:rPr>
          <w:rFonts w:hint="eastAsia" w:ascii="仿宋_GB2312" w:hAnsi="仿宋" w:eastAsia="仿宋_GB2312"/>
          <w:sz w:val="32"/>
          <w:szCs w:val="32"/>
        </w:rPr>
        <w:t>（14）负责并指导本系统行政审批工作。负责全市外来企业涉及政务服务和行政执法方面的投诉处理。</w:t>
      </w:r>
    </w:p>
    <w:p>
      <w:pPr>
        <w:spacing w:line="600" w:lineRule="exact"/>
        <w:ind w:firstLine="632" w:firstLineChars="200"/>
        <w:rPr>
          <w:rFonts w:ascii="仿宋_GB2312" w:hAnsi="仿宋" w:eastAsia="仿宋_GB2312"/>
          <w:sz w:val="32"/>
          <w:szCs w:val="32"/>
        </w:rPr>
      </w:pPr>
      <w:r>
        <w:rPr>
          <w:rFonts w:hint="eastAsia" w:ascii="仿宋_GB2312" w:hAnsi="仿宋" w:eastAsia="仿宋_GB2312"/>
          <w:sz w:val="32"/>
          <w:szCs w:val="32"/>
        </w:rPr>
        <w:t>（15）负责职责范围内的安全生产和职业健康、生态环境保护、审批服务便民化等工作。</w:t>
      </w:r>
    </w:p>
    <w:p>
      <w:pPr>
        <w:spacing w:line="600" w:lineRule="exact"/>
        <w:ind w:firstLine="632" w:firstLineChars="200"/>
        <w:rPr>
          <w:rFonts w:ascii="仿宋_GB2312" w:hAnsi="仿宋" w:eastAsia="仿宋_GB2312"/>
          <w:sz w:val="32"/>
          <w:szCs w:val="32"/>
        </w:rPr>
      </w:pPr>
      <w:r>
        <w:rPr>
          <w:rFonts w:hint="eastAsia" w:ascii="仿宋_GB2312" w:hAnsi="仿宋" w:eastAsia="仿宋_GB2312"/>
          <w:sz w:val="32"/>
          <w:szCs w:val="32"/>
        </w:rPr>
        <w:t>（16）完成市委和市政府交办的其他任务。</w:t>
      </w:r>
    </w:p>
    <w:p>
      <w:pPr>
        <w:ind w:firstLine="632" w:firstLineChars="200"/>
        <w:rPr>
          <w:rFonts w:ascii="仿宋" w:hAnsi="仿宋" w:eastAsia="仿宋" w:cs="仿宋_GB2312"/>
          <w:sz w:val="32"/>
          <w:szCs w:val="32"/>
        </w:rPr>
      </w:pPr>
      <w:r>
        <w:rPr>
          <w:rFonts w:hint="eastAsia" w:ascii="仿宋" w:hAnsi="仿宋" w:eastAsia="仿宋" w:cs="仿宋_GB2312"/>
          <w:sz w:val="32"/>
          <w:szCs w:val="32"/>
        </w:rPr>
        <w:t>（三）人员概况。</w:t>
      </w:r>
    </w:p>
    <w:p>
      <w:pPr>
        <w:spacing w:line="600" w:lineRule="exact"/>
        <w:ind w:firstLine="632" w:firstLineChars="200"/>
        <w:rPr>
          <w:rFonts w:ascii="仿宋_GB2312" w:hAnsi="仿宋" w:eastAsia="仿宋_GB2312"/>
          <w:sz w:val="32"/>
          <w:szCs w:val="32"/>
        </w:rPr>
      </w:pPr>
      <w:r>
        <w:rPr>
          <w:rFonts w:hint="eastAsia" w:ascii="仿宋_GB2312" w:hAnsi="仿宋" w:eastAsia="仿宋_GB2312"/>
          <w:sz w:val="32"/>
          <w:szCs w:val="32"/>
        </w:rPr>
        <w:t>市司法局政法专项编制45名。其中，局长1名，副局长3名，政治部（警务部）主任1名，机关党委书记1名；正科级领导职数14名</w:t>
      </w:r>
      <w:r>
        <w:rPr>
          <w:rFonts w:hint="eastAsia" w:ascii="仿宋_GB2312" w:hAnsi="仿宋_GB2312" w:eastAsia="仿宋_GB2312" w:cs="仿宋_GB2312"/>
          <w:sz w:val="32"/>
          <w:szCs w:val="32"/>
        </w:rPr>
        <w:t>〔含</w:t>
      </w:r>
      <w:r>
        <w:rPr>
          <w:rFonts w:hint="eastAsia" w:ascii="仿宋_GB2312" w:hAnsi="仿宋" w:eastAsia="仿宋_GB2312"/>
          <w:sz w:val="32"/>
          <w:szCs w:val="32"/>
        </w:rPr>
        <w:t>市委依法治市办秘书科科长、</w:t>
      </w:r>
      <w:r>
        <w:rPr>
          <w:rFonts w:hint="eastAsia" w:ascii="仿宋_GB2312" w:hAnsi="仿宋_GB2312" w:eastAsia="仿宋_GB2312" w:cs="仿宋_GB2312"/>
          <w:sz w:val="32"/>
          <w:szCs w:val="32"/>
        </w:rPr>
        <w:t>政治部（警务部）副主任</w:t>
      </w:r>
      <w:r>
        <w:rPr>
          <w:rFonts w:hint="eastAsia" w:ascii="仿宋_GB2312" w:hAnsi="仿宋" w:eastAsia="仿宋_GB2312"/>
          <w:sz w:val="32"/>
          <w:szCs w:val="32"/>
        </w:rPr>
        <w:t>、机关党委办公室主任各1名</w:t>
      </w:r>
      <w:r>
        <w:rPr>
          <w:rFonts w:hint="eastAsia" w:ascii="仿宋_GB2312" w:hAnsi="仿宋_GB2312" w:eastAsia="仿宋_GB2312" w:cs="仿宋_GB2312"/>
          <w:sz w:val="32"/>
          <w:szCs w:val="32"/>
        </w:rPr>
        <w:t>〕，副科级领导职数</w:t>
      </w:r>
      <w:r>
        <w:rPr>
          <w:rFonts w:hint="eastAsia" w:ascii="仿宋_GB2312" w:hAnsi="仿宋" w:eastAsia="仿宋_GB2312"/>
          <w:sz w:val="32"/>
          <w:szCs w:val="32"/>
        </w:rPr>
        <w:t>8名。</w:t>
      </w:r>
    </w:p>
    <w:p>
      <w:pPr>
        <w:ind w:firstLine="632" w:firstLineChars="200"/>
        <w:rPr>
          <w:rFonts w:ascii="黑体" w:hAnsi="黑体" w:eastAsia="黑体" w:cs="黑体"/>
          <w:sz w:val="32"/>
          <w:szCs w:val="32"/>
        </w:rPr>
      </w:pPr>
      <w:r>
        <w:rPr>
          <w:rFonts w:hint="eastAsia" w:ascii="黑体" w:hAnsi="黑体" w:eastAsia="黑体" w:cs="黑体"/>
          <w:sz w:val="32"/>
          <w:szCs w:val="32"/>
        </w:rPr>
        <w:t>二、部门财政资金收支情况</w:t>
      </w:r>
    </w:p>
    <w:p>
      <w:pPr>
        <w:ind w:firstLine="632" w:firstLineChars="200"/>
        <w:rPr>
          <w:rFonts w:ascii="仿宋" w:hAnsi="仿宋" w:eastAsia="仿宋" w:cs="仿宋_GB2312"/>
          <w:sz w:val="32"/>
          <w:szCs w:val="32"/>
        </w:rPr>
      </w:pPr>
      <w:r>
        <w:rPr>
          <w:rFonts w:hint="eastAsia" w:ascii="仿宋" w:hAnsi="仿宋" w:eastAsia="仿宋" w:cs="仿宋_GB2312"/>
          <w:sz w:val="32"/>
          <w:szCs w:val="32"/>
        </w:rPr>
        <w:t>（一）部门财政资金收入情况。</w:t>
      </w:r>
    </w:p>
    <w:p>
      <w:pPr>
        <w:ind w:firstLine="632" w:firstLineChars="200"/>
        <w:outlineLvl w:val="1"/>
        <w:rPr>
          <w:rFonts w:ascii="仿宋" w:hAnsi="仿宋" w:eastAsia="仿宋"/>
          <w:color w:val="000000"/>
          <w:sz w:val="32"/>
          <w:szCs w:val="32"/>
        </w:rPr>
      </w:pPr>
      <w:r>
        <w:rPr>
          <w:rFonts w:hint="eastAsia" w:ascii="仿宋_GB2312" w:hAnsi="仿宋" w:eastAsia="仿宋_GB2312"/>
          <w:color w:val="000000"/>
          <w:sz w:val="32"/>
          <w:szCs w:val="32"/>
        </w:rPr>
        <w:t>2018年遂宁市司法局本年收入合计</w:t>
      </w:r>
      <w:r>
        <w:rPr>
          <w:rFonts w:hint="eastAsia" w:ascii="仿宋" w:hAnsi="仿宋" w:eastAsia="仿宋"/>
          <w:color w:val="000000"/>
          <w:sz w:val="32"/>
          <w:szCs w:val="32"/>
        </w:rPr>
        <w:t>1739.62万元，其中：一般公共预算财政拨款收入1441.44万元，占82.86</w:t>
      </w:r>
      <w:r>
        <w:rPr>
          <w:rFonts w:ascii="仿宋" w:hAnsi="仿宋" w:eastAsia="仿宋"/>
          <w:color w:val="000000"/>
          <w:sz w:val="32"/>
          <w:szCs w:val="32"/>
        </w:rPr>
        <w:t>%</w:t>
      </w:r>
      <w:r>
        <w:rPr>
          <w:rFonts w:hint="eastAsia" w:ascii="仿宋" w:hAnsi="仿宋" w:eastAsia="仿宋"/>
          <w:color w:val="000000"/>
          <w:sz w:val="32"/>
          <w:szCs w:val="32"/>
        </w:rPr>
        <w:t>；其他收入298.18万元，占17.14</w:t>
      </w:r>
      <w:r>
        <w:rPr>
          <w:rFonts w:ascii="仿宋" w:hAnsi="仿宋" w:eastAsia="仿宋"/>
          <w:color w:val="000000"/>
          <w:sz w:val="32"/>
          <w:szCs w:val="32"/>
        </w:rPr>
        <w:t>%</w:t>
      </w:r>
      <w:r>
        <w:rPr>
          <w:rFonts w:hint="eastAsia" w:ascii="仿宋" w:hAnsi="仿宋" w:eastAsia="仿宋"/>
          <w:color w:val="000000"/>
          <w:sz w:val="32"/>
          <w:szCs w:val="32"/>
        </w:rPr>
        <w:t>。</w:t>
      </w:r>
    </w:p>
    <w:p>
      <w:pPr>
        <w:pStyle w:val="12"/>
        <w:spacing w:before="0" w:beforeAutospacing="0" w:after="0" w:afterAutospacing="0" w:line="580" w:lineRule="exact"/>
        <w:ind w:firstLine="720"/>
        <w:rPr>
          <w:rFonts w:ascii="仿宋" w:hAnsi="仿宋" w:eastAsia="仿宋" w:cs="仿宋_GB2312"/>
          <w:sz w:val="32"/>
          <w:szCs w:val="32"/>
        </w:rPr>
      </w:pPr>
      <w:r>
        <w:rPr>
          <w:rFonts w:hint="eastAsia" w:ascii="仿宋" w:hAnsi="仿宋" w:eastAsia="仿宋" w:cs="仿宋_GB2312"/>
          <w:sz w:val="32"/>
          <w:szCs w:val="32"/>
        </w:rPr>
        <w:t>（二）部门财政资金支出情况。</w:t>
      </w:r>
    </w:p>
    <w:p>
      <w:pPr>
        <w:ind w:firstLine="640"/>
        <w:rPr>
          <w:rFonts w:ascii="仿宋" w:hAnsi="仿宋" w:eastAsia="仿宋"/>
          <w:color w:val="000000"/>
          <w:sz w:val="32"/>
          <w:szCs w:val="32"/>
          <w:shd w:val="pct10" w:color="auto" w:fill="FFFFFF"/>
        </w:rPr>
      </w:pPr>
      <w:r>
        <w:rPr>
          <w:rFonts w:ascii="仿宋" w:hAnsi="仿宋" w:eastAsia="仿宋"/>
          <w:color w:val="000000"/>
          <w:sz w:val="32"/>
          <w:szCs w:val="32"/>
        </w:rPr>
        <w:t>2018</w:t>
      </w:r>
      <w:r>
        <w:rPr>
          <w:rFonts w:hint="eastAsia" w:ascii="仿宋" w:hAnsi="仿宋" w:eastAsia="仿宋"/>
          <w:color w:val="000000"/>
          <w:sz w:val="32"/>
          <w:szCs w:val="32"/>
        </w:rPr>
        <w:t>年本年支出合计1657.29万元，其中：基本支出1410.27万元，占85.09</w:t>
      </w:r>
      <w:r>
        <w:rPr>
          <w:rFonts w:ascii="仿宋" w:hAnsi="仿宋" w:eastAsia="仿宋"/>
          <w:color w:val="000000"/>
          <w:sz w:val="32"/>
          <w:szCs w:val="32"/>
        </w:rPr>
        <w:t>%</w:t>
      </w:r>
      <w:r>
        <w:rPr>
          <w:rFonts w:hint="eastAsia" w:ascii="仿宋" w:hAnsi="仿宋" w:eastAsia="仿宋"/>
          <w:color w:val="000000"/>
          <w:sz w:val="32"/>
          <w:szCs w:val="32"/>
        </w:rPr>
        <w:t>；项目支出247.02万元，占14.91</w:t>
      </w:r>
      <w:r>
        <w:rPr>
          <w:rFonts w:ascii="仿宋" w:hAnsi="仿宋" w:eastAsia="仿宋"/>
          <w:color w:val="000000"/>
          <w:sz w:val="32"/>
          <w:szCs w:val="32"/>
        </w:rPr>
        <w:t>%</w:t>
      </w:r>
      <w:r>
        <w:rPr>
          <w:rFonts w:hint="eastAsia" w:ascii="仿宋" w:hAnsi="仿宋" w:eastAsia="仿宋"/>
          <w:color w:val="000000"/>
          <w:sz w:val="32"/>
          <w:szCs w:val="32"/>
        </w:rPr>
        <w:t>。</w:t>
      </w:r>
    </w:p>
    <w:p>
      <w:pPr>
        <w:ind w:firstLine="632" w:firstLineChars="200"/>
        <w:rPr>
          <w:rFonts w:ascii="黑体" w:hAnsi="黑体" w:eastAsia="黑体" w:cs="黑体"/>
          <w:sz w:val="32"/>
          <w:szCs w:val="32"/>
        </w:rPr>
      </w:pPr>
      <w:r>
        <w:rPr>
          <w:rFonts w:hint="eastAsia" w:ascii="黑体" w:hAnsi="黑体" w:eastAsia="黑体" w:cs="黑体"/>
          <w:sz w:val="32"/>
          <w:szCs w:val="32"/>
        </w:rPr>
        <w:t>三、部门整体预算绩效管理情况（根据适用指标体系进行调整）</w:t>
      </w:r>
    </w:p>
    <w:p>
      <w:pPr>
        <w:ind w:firstLine="632" w:firstLineChars="200"/>
        <w:rPr>
          <w:rFonts w:ascii="仿宋" w:hAnsi="仿宋" w:eastAsia="仿宋" w:cs="仿宋_GB2312"/>
          <w:sz w:val="32"/>
          <w:szCs w:val="32"/>
        </w:rPr>
      </w:pPr>
      <w:r>
        <w:rPr>
          <w:rFonts w:hint="eastAsia" w:ascii="仿宋" w:hAnsi="仿宋" w:eastAsia="仿宋" w:cs="仿宋_GB2312"/>
          <w:sz w:val="32"/>
          <w:szCs w:val="32"/>
        </w:rPr>
        <w:t>（一）部门预算管理。</w:t>
      </w:r>
    </w:p>
    <w:p>
      <w:pPr>
        <w:ind w:firstLine="632" w:firstLineChars="200"/>
        <w:rPr>
          <w:rFonts w:ascii="仿宋" w:hAnsi="仿宋" w:eastAsia="仿宋" w:cs="仿宋_GB2312"/>
          <w:sz w:val="32"/>
          <w:szCs w:val="32"/>
        </w:rPr>
      </w:pPr>
      <w:r>
        <w:rPr>
          <w:rFonts w:hint="eastAsia" w:ascii="仿宋" w:hAnsi="仿宋" w:eastAsia="仿宋" w:cs="仿宋_GB2312"/>
          <w:sz w:val="32"/>
          <w:szCs w:val="32"/>
        </w:rPr>
        <w:t>部门绩效目标制定明确、目标按时按质量完成、预算编制准确、支出控制严格、预算动态调整符合相关规定、执行进度合理、预算完成情况良好、无违规记录。</w:t>
      </w:r>
    </w:p>
    <w:p>
      <w:pPr>
        <w:ind w:firstLine="632" w:firstLineChars="200"/>
        <w:rPr>
          <w:rFonts w:ascii="仿宋_GB2312" w:hAnsi="仿宋" w:eastAsia="仿宋_GB2312" w:cs="仿宋"/>
          <w:sz w:val="32"/>
          <w:szCs w:val="32"/>
        </w:rPr>
      </w:pPr>
      <w:r>
        <w:rPr>
          <w:rFonts w:hint="eastAsia" w:ascii="仿宋_GB2312" w:hAnsi="仿宋" w:eastAsia="仿宋_GB2312" w:cs="仿宋"/>
          <w:sz w:val="32"/>
          <w:szCs w:val="32"/>
        </w:rPr>
        <w:t>1.预算编制质量。</w:t>
      </w:r>
      <w:r>
        <w:rPr>
          <w:rFonts w:hint="eastAsia" w:ascii="仿宋_GB2312" w:hAnsi="仿宋" w:eastAsia="仿宋_GB2312"/>
          <w:color w:val="000000"/>
          <w:sz w:val="32"/>
          <w:szCs w:val="32"/>
          <w:shd w:val="clear" w:color="auto" w:fill="FFFFFF"/>
        </w:rPr>
        <w:t>市司法局预算严格按照单位职责职能范围和</w:t>
      </w:r>
      <w:r>
        <w:rPr>
          <w:rFonts w:hint="eastAsia" w:ascii="仿宋_GB2312" w:hAnsi="仿宋" w:eastAsia="仿宋_GB2312" w:cs="仿宋"/>
          <w:sz w:val="32"/>
          <w:szCs w:val="32"/>
        </w:rPr>
        <w:t>市财政局下达的预算控制数，结合近年来单位的实际支出情况及当年的工作需要，编制并按时报送了本部门2018年的财政预算。全年财政预算资金</w:t>
      </w:r>
      <w:r>
        <w:rPr>
          <w:rFonts w:hint="eastAsia" w:ascii="仿宋_GB2312" w:hAnsi="仿宋" w:eastAsia="仿宋_GB2312"/>
          <w:color w:val="000000"/>
          <w:sz w:val="32"/>
          <w:szCs w:val="32"/>
          <w:shd w:val="clear" w:color="auto" w:fill="FFFFFF"/>
        </w:rPr>
        <w:t>进行了精准管理，优化支出结构，做到项目资金安排及时到位</w:t>
      </w:r>
      <w:r>
        <w:rPr>
          <w:rFonts w:hint="eastAsia" w:ascii="仿宋_GB2312" w:hAnsi="仿宋" w:eastAsia="仿宋_GB2312" w:cs="仿宋"/>
          <w:sz w:val="32"/>
          <w:szCs w:val="32"/>
        </w:rPr>
        <w:t>，未出现年末预算资金不足的情况。</w:t>
      </w:r>
    </w:p>
    <w:p>
      <w:pPr>
        <w:ind w:firstLine="572" w:firstLineChars="181"/>
        <w:rPr>
          <w:rFonts w:ascii="仿宋_GB2312" w:hAnsi="仿宋" w:eastAsia="仿宋_GB2312" w:cs="仿宋"/>
          <w:color w:val="000000"/>
          <w:sz w:val="32"/>
          <w:szCs w:val="32"/>
        </w:rPr>
      </w:pPr>
      <w:r>
        <w:rPr>
          <w:rFonts w:hint="eastAsia" w:ascii="仿宋_GB2312" w:hAnsi="仿宋" w:eastAsia="仿宋_GB2312" w:cs="仿宋"/>
          <w:color w:val="000000"/>
          <w:sz w:val="32"/>
          <w:szCs w:val="32"/>
        </w:rPr>
        <w:t>2.绩效目标填报。</w:t>
      </w:r>
      <w:r>
        <w:rPr>
          <w:rFonts w:hint="eastAsia" w:ascii="仿宋_GB2312" w:hAnsi="仿宋" w:eastAsia="仿宋_GB2312" w:cs="仿宋"/>
          <w:sz w:val="32"/>
          <w:szCs w:val="32"/>
        </w:rPr>
        <w:t>市司法局</w:t>
      </w:r>
      <w:r>
        <w:rPr>
          <w:rFonts w:hint="eastAsia" w:ascii="仿宋_GB2312" w:hAnsi="仿宋" w:eastAsia="仿宋_GB2312" w:cs="仿宋"/>
          <w:color w:val="000000"/>
          <w:sz w:val="32"/>
          <w:szCs w:val="32"/>
        </w:rPr>
        <w:t>按照预算资金绩效管理的要求，制度了年度资金安排计划，绩效目标任务按质按量完成，</w:t>
      </w:r>
      <w:r>
        <w:rPr>
          <w:rFonts w:hint="eastAsia" w:ascii="仿宋_GB2312" w:hAnsi="仿宋" w:eastAsia="仿宋_GB2312"/>
          <w:color w:val="000000"/>
          <w:sz w:val="32"/>
          <w:szCs w:val="32"/>
          <w:shd w:val="clear" w:color="auto" w:fill="FFFFFF"/>
        </w:rPr>
        <w:t>绩效目标填报准确及时</w:t>
      </w:r>
      <w:r>
        <w:rPr>
          <w:rFonts w:hint="eastAsia" w:ascii="仿宋_GB2312" w:hAnsi="仿宋" w:eastAsia="仿宋_GB2312" w:cs="仿宋"/>
          <w:color w:val="000000"/>
          <w:sz w:val="32"/>
          <w:szCs w:val="32"/>
        </w:rPr>
        <w:t>。</w:t>
      </w:r>
    </w:p>
    <w:p>
      <w:pPr>
        <w:pStyle w:val="12"/>
        <w:spacing w:before="0" w:beforeAutospacing="0" w:after="0" w:afterAutospacing="0" w:line="580" w:lineRule="exact"/>
        <w:ind w:firstLine="720"/>
        <w:rPr>
          <w:rFonts w:ascii="仿宋_GB2312" w:hAnsi="仿宋" w:eastAsia="仿宋_GB2312"/>
          <w:sz w:val="32"/>
          <w:szCs w:val="32"/>
        </w:rPr>
      </w:pPr>
      <w:r>
        <w:rPr>
          <w:rFonts w:hint="eastAsia" w:ascii="仿宋_GB2312" w:hAnsi="仿宋" w:eastAsia="仿宋_GB2312" w:cs="Times New Roman"/>
          <w:color w:val="000000"/>
          <w:sz w:val="32"/>
          <w:szCs w:val="32"/>
          <w:shd w:val="clear" w:color="auto" w:fill="FFFFFF"/>
        </w:rPr>
        <w:t>3.中央和省级政法转移资金下拨及时到位，专项转移支付资金及时下拨到各区县，各级转移支付资金使用按照工作实际需要分项目编制。</w:t>
      </w:r>
    </w:p>
    <w:p>
      <w:pPr>
        <w:ind w:firstLine="632" w:firstLineChars="200"/>
        <w:rPr>
          <w:rFonts w:ascii="仿宋" w:hAnsi="仿宋" w:eastAsia="仿宋" w:cs="仿宋_GB2312"/>
          <w:sz w:val="32"/>
          <w:szCs w:val="32"/>
        </w:rPr>
      </w:pPr>
      <w:r>
        <w:rPr>
          <w:rFonts w:hint="eastAsia" w:ascii="仿宋" w:hAnsi="仿宋" w:eastAsia="仿宋" w:cs="仿宋_GB2312"/>
          <w:sz w:val="32"/>
          <w:szCs w:val="32"/>
        </w:rPr>
        <w:t>（二）专项预算管理。</w:t>
      </w:r>
    </w:p>
    <w:p>
      <w:pPr>
        <w:ind w:firstLine="632" w:firstLineChars="200"/>
        <w:rPr>
          <w:rFonts w:ascii="仿宋" w:hAnsi="仿宋" w:eastAsia="仿宋" w:cs="仿宋_GB2312"/>
          <w:sz w:val="32"/>
          <w:szCs w:val="32"/>
        </w:rPr>
      </w:pPr>
      <w:r>
        <w:rPr>
          <w:rFonts w:hint="eastAsia" w:ascii="仿宋" w:hAnsi="仿宋" w:eastAsia="仿宋" w:cs="仿宋_GB2312"/>
          <w:sz w:val="32"/>
          <w:szCs w:val="32"/>
        </w:rPr>
        <w:t>专项预算项目程序严密、规划合理、结果符合项目预期要求、分配科学、分配及时、专项预算绩效目标完成符合预算要求、实施绩效到位、无违规记录。</w:t>
      </w:r>
    </w:p>
    <w:p>
      <w:pPr>
        <w:pStyle w:val="12"/>
        <w:spacing w:before="0" w:beforeAutospacing="0" w:after="0" w:afterAutospacing="0" w:line="580" w:lineRule="exact"/>
        <w:ind w:firstLine="720"/>
        <w:rPr>
          <w:rFonts w:ascii="仿宋_GB2312" w:hAnsi="仿宋" w:eastAsia="仿宋_GB2312" w:cs="仿宋"/>
          <w:sz w:val="32"/>
          <w:szCs w:val="32"/>
        </w:rPr>
      </w:pPr>
      <w:r>
        <w:rPr>
          <w:rFonts w:hint="eastAsia" w:ascii="仿宋_GB2312" w:hAnsi="仿宋" w:eastAsia="仿宋_GB2312" w:cs="Times New Roman"/>
          <w:color w:val="000000"/>
          <w:sz w:val="32"/>
          <w:szCs w:val="32"/>
          <w:shd w:val="clear" w:color="auto" w:fill="FFFFFF"/>
        </w:rPr>
        <w:t>部门预算执行情况良好，市级部门专项经费到位及时，预算分配时限合理。中省转移支付资金分配合规率高。</w:t>
      </w:r>
      <w:r>
        <w:rPr>
          <w:rFonts w:hint="eastAsia" w:ascii="仿宋_GB2312" w:hAnsi="仿宋" w:eastAsia="仿宋_GB2312" w:cs="仿宋"/>
          <w:sz w:val="32"/>
          <w:szCs w:val="32"/>
        </w:rPr>
        <w:t>中期自行评估后，加大了预算执行力度，</w:t>
      </w:r>
      <w:r>
        <w:rPr>
          <w:rFonts w:hint="eastAsia" w:ascii="仿宋_GB2312" w:hAnsi="仿宋" w:eastAsia="仿宋_GB2312" w:cs="Times New Roman"/>
          <w:color w:val="000000"/>
          <w:sz w:val="32"/>
          <w:szCs w:val="32"/>
          <w:shd w:val="clear" w:color="auto" w:fill="FFFFFF"/>
        </w:rPr>
        <w:t>部门预算执行进度按照市财政要求进行，</w:t>
      </w:r>
      <w:r>
        <w:rPr>
          <w:rFonts w:hint="eastAsia" w:ascii="仿宋_GB2312" w:hAnsi="仿宋" w:eastAsia="仿宋_GB2312" w:cs="仿宋"/>
          <w:sz w:val="32"/>
          <w:szCs w:val="32"/>
        </w:rPr>
        <w:t>基本支出预算达到了均衡预算支出的目标，项目支出预算执行进度基本实现预定目标。</w:t>
      </w:r>
    </w:p>
    <w:p>
      <w:pPr>
        <w:ind w:firstLine="632" w:firstLineChars="200"/>
        <w:rPr>
          <w:rFonts w:ascii="仿宋" w:hAnsi="仿宋" w:eastAsia="仿宋" w:cs="仿宋_GB2312"/>
          <w:sz w:val="32"/>
          <w:szCs w:val="32"/>
        </w:rPr>
      </w:pPr>
      <w:r>
        <w:rPr>
          <w:rFonts w:hint="eastAsia" w:ascii="仿宋" w:hAnsi="仿宋" w:eastAsia="仿宋" w:cs="仿宋_GB2312"/>
          <w:sz w:val="32"/>
          <w:szCs w:val="32"/>
        </w:rPr>
        <w:t>（三）结果应用情况。</w:t>
      </w:r>
    </w:p>
    <w:p>
      <w:pPr>
        <w:ind w:firstLine="632" w:firstLineChars="200"/>
        <w:rPr>
          <w:rFonts w:ascii="仿宋" w:hAnsi="仿宋" w:eastAsia="仿宋" w:cs="仿宋_GB2312"/>
          <w:sz w:val="32"/>
          <w:szCs w:val="32"/>
        </w:rPr>
      </w:pPr>
      <w:r>
        <w:rPr>
          <w:rFonts w:hint="eastAsia" w:ascii="仿宋" w:hAnsi="仿宋" w:eastAsia="仿宋" w:cs="仿宋_GB2312"/>
          <w:sz w:val="32"/>
          <w:szCs w:val="32"/>
        </w:rPr>
        <w:t>部门自评质量高、绩效目标公开和自评公开、评价结果良好、应用结果反馈情况好。</w:t>
      </w:r>
    </w:p>
    <w:p>
      <w:pPr>
        <w:pStyle w:val="12"/>
        <w:spacing w:before="0" w:beforeAutospacing="0" w:after="0" w:afterAutospacing="0" w:line="580" w:lineRule="exact"/>
        <w:ind w:firstLine="720"/>
        <w:rPr>
          <w:rFonts w:ascii="仿宋_GB2312" w:hAnsi="仿宋" w:eastAsia="仿宋_GB2312"/>
          <w:color w:val="000000"/>
          <w:sz w:val="32"/>
          <w:szCs w:val="32"/>
        </w:rPr>
      </w:pPr>
      <w:r>
        <w:rPr>
          <w:rFonts w:hint="eastAsia" w:ascii="仿宋_GB2312" w:hAnsi="仿宋" w:eastAsia="仿宋_GB2312"/>
          <w:color w:val="000000"/>
          <w:sz w:val="32"/>
          <w:szCs w:val="32"/>
        </w:rPr>
        <w:t>每年的部门预决算和“三公”经费收支情况均在市政务公开网站和局门户网站进行了公开，自觉接受群众监督。</w:t>
      </w:r>
    </w:p>
    <w:p>
      <w:pPr>
        <w:ind w:firstLine="632" w:firstLineChars="200"/>
        <w:rPr>
          <w:rFonts w:ascii="黑体" w:hAnsi="黑体" w:eastAsia="黑体" w:cs="黑体"/>
          <w:sz w:val="32"/>
          <w:szCs w:val="32"/>
        </w:rPr>
      </w:pPr>
      <w:r>
        <w:rPr>
          <w:rFonts w:hint="eastAsia" w:ascii="黑体" w:hAnsi="黑体" w:eastAsia="黑体" w:cs="黑体"/>
          <w:sz w:val="32"/>
          <w:szCs w:val="32"/>
        </w:rPr>
        <w:t>四、评价结论及建议</w:t>
      </w:r>
    </w:p>
    <w:p>
      <w:pPr>
        <w:ind w:firstLine="632" w:firstLineChars="200"/>
        <w:rPr>
          <w:rFonts w:ascii="仿宋" w:hAnsi="仿宋" w:eastAsia="仿宋" w:cs="仿宋_GB2312"/>
          <w:sz w:val="32"/>
          <w:szCs w:val="32"/>
        </w:rPr>
      </w:pPr>
      <w:r>
        <w:rPr>
          <w:rFonts w:hint="eastAsia" w:ascii="仿宋" w:hAnsi="仿宋" w:eastAsia="仿宋" w:cs="仿宋_GB2312"/>
          <w:sz w:val="32"/>
          <w:szCs w:val="32"/>
        </w:rPr>
        <w:t>（一）评价结论。</w:t>
      </w:r>
    </w:p>
    <w:p>
      <w:pPr>
        <w:pStyle w:val="12"/>
        <w:spacing w:before="0" w:beforeAutospacing="0" w:after="0" w:afterAutospacing="0" w:line="580" w:lineRule="exact"/>
        <w:ind w:firstLine="72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我局</w:t>
      </w:r>
      <w:r>
        <w:rPr>
          <w:rFonts w:hint="eastAsia" w:ascii="仿宋_GB2312" w:hAnsi="仿宋" w:eastAsia="仿宋_GB2312"/>
          <w:color w:val="000000"/>
          <w:sz w:val="32"/>
          <w:szCs w:val="32"/>
        </w:rPr>
        <w:t>本着“以收定支，量入为出，保证重点，兼顾一般”的原则，使财政预算拨款更加切合实际；我局</w:t>
      </w:r>
      <w:r>
        <w:rPr>
          <w:rFonts w:hint="eastAsia" w:ascii="仿宋_GB2312" w:hAnsi="仿宋" w:eastAsia="仿宋_GB2312" w:cs="Times New Roman"/>
          <w:color w:val="000000"/>
          <w:sz w:val="32"/>
          <w:szCs w:val="32"/>
        </w:rPr>
        <w:t>制定了资金管理、固定资产管理、财务内控制度等一系列财经制度，财务管理规范，资金监督考核严格，财务绩效明显，切实保障了资金使用合法合规，使财政资金充分</w:t>
      </w:r>
      <w:r>
        <w:rPr>
          <w:rFonts w:hint="eastAsia" w:ascii="仿宋_GB2312" w:hAnsi="仿宋" w:eastAsia="仿宋_GB2312"/>
          <w:color w:val="000000"/>
          <w:sz w:val="32"/>
          <w:szCs w:val="32"/>
        </w:rPr>
        <w:t>其在司法工作保障中的积极作用。</w:t>
      </w:r>
      <w:r>
        <w:rPr>
          <w:rFonts w:hint="eastAsia" w:ascii="仿宋_GB2312" w:eastAsia="仿宋_GB2312"/>
          <w:sz w:val="32"/>
          <w:szCs w:val="32"/>
        </w:rPr>
        <w:t>绩效监控的项目预期提供的产品、服务、效益目标明确细化，可衡量；绩效目标设定符合实际需求，合理可行；资金分配管理是否科学合理、规范有序，突出重点工作内容</w:t>
      </w:r>
      <w:r>
        <w:rPr>
          <w:rFonts w:hint="eastAsia" w:ascii="仿宋_GB2312" w:hAnsi="仿宋" w:eastAsia="仿宋_GB2312" w:cs="Times New Roman"/>
          <w:color w:val="000000"/>
          <w:sz w:val="32"/>
          <w:szCs w:val="32"/>
        </w:rPr>
        <w:t>。</w:t>
      </w:r>
    </w:p>
    <w:p>
      <w:pPr>
        <w:ind w:firstLine="632" w:firstLineChars="200"/>
        <w:rPr>
          <w:rFonts w:ascii="仿宋" w:hAnsi="仿宋" w:eastAsia="仿宋" w:cs="仿宋_GB2312"/>
          <w:sz w:val="32"/>
          <w:szCs w:val="32"/>
        </w:rPr>
      </w:pPr>
      <w:r>
        <w:rPr>
          <w:rFonts w:hint="eastAsia" w:ascii="仿宋" w:hAnsi="仿宋" w:eastAsia="仿宋" w:cs="仿宋_GB2312"/>
          <w:sz w:val="32"/>
          <w:szCs w:val="32"/>
        </w:rPr>
        <w:t>（二）存在问题。</w:t>
      </w:r>
    </w:p>
    <w:p>
      <w:pPr>
        <w:pStyle w:val="12"/>
        <w:spacing w:before="0" w:beforeAutospacing="0" w:after="0" w:afterAutospacing="0" w:line="580" w:lineRule="exact"/>
        <w:ind w:firstLine="720"/>
        <w:rPr>
          <w:rFonts w:ascii="仿宋_GB2312" w:hAnsi="仿宋" w:eastAsia="仿宋_GB2312"/>
          <w:sz w:val="32"/>
          <w:szCs w:val="32"/>
        </w:rPr>
      </w:pPr>
      <w:r>
        <w:rPr>
          <w:rFonts w:hint="eastAsia" w:ascii="仿宋_GB2312" w:hAnsi="仿宋" w:eastAsia="仿宋_GB2312" w:cs="Times New Roman"/>
          <w:color w:val="000000"/>
          <w:sz w:val="32"/>
          <w:szCs w:val="32"/>
          <w:shd w:val="clear" w:color="auto" w:fill="FFFFFF"/>
        </w:rPr>
        <w:t>单位财务管理制度有待进一步完善，单位内控监管有待加强。</w:t>
      </w:r>
    </w:p>
    <w:p>
      <w:pPr>
        <w:ind w:firstLine="632" w:firstLineChars="200"/>
        <w:rPr>
          <w:rFonts w:ascii="仿宋" w:hAnsi="仿宋" w:eastAsia="仿宋" w:cs="仿宋_GB2312"/>
          <w:sz w:val="32"/>
          <w:szCs w:val="32"/>
        </w:rPr>
      </w:pPr>
      <w:r>
        <w:rPr>
          <w:rFonts w:hint="eastAsia" w:ascii="仿宋" w:hAnsi="仿宋" w:eastAsia="仿宋" w:cs="仿宋_GB2312"/>
          <w:sz w:val="32"/>
          <w:szCs w:val="32"/>
        </w:rPr>
        <w:t>（三）改进建议。</w:t>
      </w:r>
    </w:p>
    <w:p>
      <w:pPr>
        <w:spacing w:line="580" w:lineRule="exact"/>
        <w:ind w:firstLine="632" w:firstLineChars="200"/>
        <w:rPr>
          <w:rFonts w:ascii="仿宋_GB2312" w:hAnsi="仿宋" w:eastAsia="仿宋_GB2312"/>
          <w:sz w:val="32"/>
          <w:szCs w:val="32"/>
        </w:rPr>
      </w:pPr>
      <w:r>
        <w:rPr>
          <w:rFonts w:hint="eastAsia" w:ascii="仿宋_GB2312" w:hAnsi="仿宋" w:eastAsia="仿宋_GB2312"/>
          <w:sz w:val="32"/>
          <w:szCs w:val="32"/>
        </w:rPr>
        <w:t>强化单位财务管理制度，加强预算管理和监督，提高经费使用的科学性和准确性。加强经费保障政策研究，积极探索建立经费保障的新机制。</w:t>
      </w:r>
    </w:p>
    <w:p>
      <w:pPr>
        <w:widowControl/>
        <w:shd w:val="clear" w:color="auto" w:fill="FFFFFF"/>
        <w:spacing w:line="580" w:lineRule="exact"/>
        <w:ind w:firstLine="632" w:firstLineChars="200"/>
        <w:rPr>
          <w:rFonts w:ascii="仿宋_GB2312" w:hAnsi="仿宋" w:eastAsia="仿宋_GB2312" w:cs="宋体"/>
          <w:color w:val="000000"/>
          <w:kern w:val="0"/>
          <w:sz w:val="32"/>
          <w:szCs w:val="32"/>
        </w:rPr>
      </w:pPr>
      <w:r>
        <w:rPr>
          <w:rFonts w:hint="eastAsia" w:ascii="仿宋_GB2312" w:hAnsi="仿宋" w:eastAsia="仿宋_GB2312"/>
          <w:color w:val="000000"/>
          <w:sz w:val="32"/>
          <w:szCs w:val="32"/>
          <w:shd w:val="clear" w:color="auto" w:fill="FFFFFF"/>
        </w:rPr>
        <w:t>增强内控意识，严格按照《会计法》和《内部会计控制基本规范》的规定，提高对本单位财务会计报告的真实性、完整性以及内部控制制度的合理性、有效性，针对行政事业单位的组织与管理特点对原有管理制度进行修改，从单位的实际情况出发，逐步完善财务内控制度，做到财务内部控制有章可循，不断增强行政事业单位的竞争力，有效提高其可持续发展的能力。</w:t>
      </w:r>
      <w:r>
        <w:rPr>
          <w:rFonts w:hint="eastAsia" w:ascii="仿宋_GB2312" w:eastAsia="仿宋_GB2312"/>
          <w:color w:val="000000"/>
          <w:sz w:val="32"/>
          <w:szCs w:val="32"/>
          <w:shd w:val="clear" w:color="auto" w:fill="FFFFFF"/>
        </w:rPr>
        <w:t> </w:t>
      </w:r>
    </w:p>
    <w:p>
      <w:pPr>
        <w:ind w:firstLine="632" w:firstLineChars="200"/>
        <w:rPr>
          <w:rFonts w:ascii="仿宋" w:hAnsi="仿宋" w:eastAsia="仿宋" w:cs="仿宋_GB2312"/>
          <w:sz w:val="32"/>
          <w:szCs w:val="32"/>
        </w:rPr>
      </w:pPr>
    </w:p>
    <w:p>
      <w:pPr>
        <w:ind w:firstLine="632" w:firstLineChars="200"/>
        <w:rPr>
          <w:rFonts w:ascii="仿宋_GB2312" w:hAnsi="仿宋_GB2312" w:eastAsia="仿宋_GB2312" w:cs="仿宋_GB2312"/>
          <w:sz w:val="32"/>
          <w:szCs w:val="32"/>
        </w:rPr>
      </w:pPr>
    </w:p>
    <w:p>
      <w:pPr>
        <w:widowControl/>
        <w:jc w:val="left"/>
        <w:rPr>
          <w:rFonts w:ascii="仿宋_GB2312" w:hAnsi="仿宋_GB2312" w:eastAsia="仿宋_GB2312" w:cs="仿宋_GB2312"/>
          <w:sz w:val="32"/>
          <w:szCs w:val="32"/>
        </w:rPr>
      </w:pPr>
      <w:r>
        <w:rPr>
          <w:rFonts w:ascii="仿宋_GB2312" w:hAnsi="仿宋_GB2312" w:eastAsia="仿宋_GB2312" w:cs="仿宋_GB2312"/>
          <w:sz w:val="32"/>
          <w:szCs w:val="32"/>
        </w:rPr>
        <w:br w:type="page"/>
      </w:r>
    </w:p>
    <w:p>
      <w:pPr>
        <w:pStyle w:val="3"/>
        <w:spacing w:line="240" w:lineRule="auto"/>
        <w:rPr>
          <w:rStyle w:val="19"/>
          <w:rFonts w:ascii="仿宋" w:hAnsi="仿宋" w:eastAsia="仿宋"/>
          <w:b w:val="0"/>
          <w:bCs w:val="0"/>
          <w:sz w:val="32"/>
          <w:szCs w:val="32"/>
        </w:rPr>
      </w:pPr>
      <w:bookmarkStart w:id="61" w:name="_Toc15396617"/>
      <w:r>
        <w:rPr>
          <w:rStyle w:val="19"/>
          <w:rFonts w:hint="eastAsia" w:ascii="仿宋" w:hAnsi="仿宋" w:eastAsia="仿宋"/>
          <w:b w:val="0"/>
          <w:bCs w:val="0"/>
          <w:sz w:val="32"/>
          <w:szCs w:val="32"/>
        </w:rPr>
        <w:t>附件</w:t>
      </w:r>
      <w:r>
        <w:rPr>
          <w:rStyle w:val="19"/>
          <w:rFonts w:ascii="仿宋" w:hAnsi="仿宋" w:eastAsia="仿宋"/>
          <w:b w:val="0"/>
          <w:bCs w:val="0"/>
          <w:sz w:val="32"/>
          <w:szCs w:val="32"/>
        </w:rPr>
        <w:t>2</w:t>
      </w:r>
      <w:bookmarkEnd w:id="61"/>
    </w:p>
    <w:p>
      <w:pPr>
        <w:jc w:val="center"/>
        <w:rPr>
          <w:rFonts w:ascii="黑体" w:hAnsi="黑体" w:eastAsia="黑体" w:cs="方正小标宋简体"/>
          <w:sz w:val="44"/>
          <w:szCs w:val="44"/>
        </w:rPr>
      </w:pPr>
      <w:r>
        <w:rPr>
          <w:rFonts w:ascii="黑体" w:hAnsi="黑体" w:eastAsia="黑体" w:cs="方正小标宋简体"/>
          <w:sz w:val="44"/>
          <w:szCs w:val="44"/>
        </w:rPr>
        <w:t>2018</w:t>
      </w:r>
      <w:r>
        <w:rPr>
          <w:rFonts w:hint="eastAsia" w:ascii="黑体" w:hAnsi="黑体" w:eastAsia="黑体" w:cs="方正小标宋简体"/>
          <w:sz w:val="44"/>
          <w:szCs w:val="44"/>
        </w:rPr>
        <w:t>年《以案说法》项目支出绩效评价报告</w:t>
      </w:r>
    </w:p>
    <w:p>
      <w:pPr>
        <w:ind w:firstLine="632" w:firstLineChars="200"/>
        <w:rPr>
          <w:rFonts w:ascii="仿宋_GB2312" w:hAnsi="仿宋_GB2312" w:eastAsia="仿宋_GB2312" w:cs="仿宋_GB2312"/>
          <w:sz w:val="32"/>
          <w:szCs w:val="32"/>
        </w:rPr>
      </w:pPr>
    </w:p>
    <w:p>
      <w:pPr>
        <w:ind w:firstLine="632" w:firstLineChars="200"/>
        <w:rPr>
          <w:rFonts w:ascii="仿宋" w:hAnsi="仿宋" w:eastAsia="仿宋" w:cs="仿宋_GB2312"/>
          <w:sz w:val="32"/>
          <w:szCs w:val="32"/>
        </w:rPr>
      </w:pPr>
      <w:r>
        <w:rPr>
          <w:rFonts w:hint="eastAsia" w:ascii="仿宋" w:hAnsi="仿宋" w:eastAsia="仿宋" w:cs="仿宋_GB2312"/>
          <w:sz w:val="32"/>
          <w:szCs w:val="32"/>
        </w:rPr>
        <w:t>一、评价工作开展及项目情况</w:t>
      </w:r>
    </w:p>
    <w:p>
      <w:pPr>
        <w:spacing w:line="580" w:lineRule="exact"/>
        <w:ind w:firstLine="632" w:firstLineChars="200"/>
        <w:rPr>
          <w:rFonts w:ascii="仿宋_GB2312" w:hAnsi="仿宋" w:eastAsia="仿宋_GB2312"/>
          <w:sz w:val="32"/>
          <w:szCs w:val="32"/>
        </w:rPr>
      </w:pPr>
      <w:r>
        <w:rPr>
          <w:rFonts w:hint="eastAsia" w:ascii="仿宋_GB2312" w:hAnsi="仿宋" w:eastAsia="仿宋_GB2312"/>
          <w:sz w:val="32"/>
          <w:szCs w:val="32"/>
        </w:rPr>
        <w:t>2012年3月由遂宁市法制建设领导小组、市委宣传部、市委政法委主办，市司法局联合市文广局及节目制作参与单位，共同开办的普法专题电视节目《以案说法》。主要以我市老百姓身边的、典型鲜活的法治案例为载体，通过案件回放、当事人访谈、司法和行政执法单位解读、法律专家点评、主持人总结等形式，向广大干部群众宣传法治理念，普及法律知识。整个节目的定位是关注百姓身边发生的法律事件，报道百姓所关心关注的法律问题，努力为广大干部群众学法、知法、守法提供引导与服务；目的是要将法理性融入到故事情节之中，以案说法，普及法律知识，同时加强对政府行政执法、司法机关司法的过程进行监督。</w:t>
      </w:r>
    </w:p>
    <w:p>
      <w:pPr>
        <w:spacing w:line="580" w:lineRule="exact"/>
        <w:ind w:firstLine="632" w:firstLineChars="200"/>
        <w:rPr>
          <w:rFonts w:ascii="仿宋_GB2312" w:hAnsi="仿宋" w:eastAsia="仿宋_GB2312"/>
          <w:sz w:val="32"/>
          <w:szCs w:val="32"/>
        </w:rPr>
      </w:pPr>
      <w:r>
        <w:rPr>
          <w:rFonts w:hint="eastAsia" w:ascii="仿宋_GB2312" w:hAnsi="仿宋" w:eastAsia="仿宋_GB2312"/>
          <w:sz w:val="32"/>
          <w:szCs w:val="32"/>
        </w:rPr>
        <w:t>我局从项目完成、项目效益、满意度等方面设置了绩效指标，由此展开项目绩效评价；综合反映了项目预期完成的数量、成本、时效、质量，均预期达到了良好</w:t>
      </w:r>
      <w:r>
        <w:rPr>
          <w:rFonts w:hint="eastAsia" w:ascii="仿宋_GB2312" w:hAnsi="仿宋" w:eastAsia="仿宋_GB2312"/>
          <w:sz w:val="32"/>
          <w:szCs w:val="32"/>
          <w:lang w:eastAsia="zh-CN"/>
        </w:rPr>
        <w:t>的</w:t>
      </w:r>
      <w:bookmarkStart w:id="76" w:name="_GoBack"/>
      <w:bookmarkEnd w:id="76"/>
      <w:r>
        <w:rPr>
          <w:rFonts w:hint="eastAsia" w:ascii="仿宋_GB2312" w:hAnsi="仿宋" w:eastAsia="仿宋_GB2312"/>
          <w:sz w:val="32"/>
          <w:szCs w:val="32"/>
        </w:rPr>
        <w:t>社会效益、可持续影响，群众满意度高。</w:t>
      </w:r>
    </w:p>
    <w:p>
      <w:pPr>
        <w:spacing w:line="580" w:lineRule="exact"/>
        <w:ind w:firstLine="474" w:firstLineChars="150"/>
        <w:rPr>
          <w:rFonts w:ascii="仿宋" w:hAnsi="仿宋" w:eastAsia="仿宋" w:cs="仿宋_GB2312"/>
          <w:sz w:val="32"/>
          <w:szCs w:val="32"/>
        </w:rPr>
      </w:pPr>
      <w:r>
        <w:rPr>
          <w:rFonts w:hint="eastAsia" w:ascii="仿宋" w:hAnsi="仿宋" w:eastAsia="仿宋" w:cs="仿宋_GB2312"/>
          <w:sz w:val="32"/>
          <w:szCs w:val="32"/>
        </w:rPr>
        <w:t>二、评价结论及绩效分析</w:t>
      </w:r>
    </w:p>
    <w:p>
      <w:pPr>
        <w:ind w:firstLine="632" w:firstLineChars="200"/>
        <w:rPr>
          <w:rFonts w:ascii="仿宋" w:hAnsi="仿宋" w:eastAsia="仿宋" w:cs="仿宋_GB2312"/>
          <w:sz w:val="32"/>
          <w:szCs w:val="32"/>
        </w:rPr>
      </w:pPr>
      <w:r>
        <w:rPr>
          <w:rFonts w:hint="eastAsia" w:ascii="仿宋" w:hAnsi="仿宋" w:eastAsia="仿宋" w:cs="仿宋_GB2312"/>
          <w:sz w:val="32"/>
          <w:szCs w:val="32"/>
        </w:rPr>
        <w:t>（一）评价结论</w:t>
      </w:r>
    </w:p>
    <w:p>
      <w:pPr>
        <w:spacing w:line="700" w:lineRule="exact"/>
        <w:jc w:val="center"/>
        <w:rPr>
          <w:rFonts w:ascii="方正小标宋简体" w:eastAsia="方正小标宋简体"/>
          <w:sz w:val="44"/>
          <w:szCs w:val="44"/>
        </w:rPr>
      </w:pPr>
      <w:r>
        <w:rPr>
          <w:rFonts w:hint="eastAsia" w:ascii="方正小标宋简体" w:eastAsia="方正小标宋简体"/>
          <w:sz w:val="44"/>
          <w:szCs w:val="44"/>
        </w:rPr>
        <w:t>2018年市级项目支出绩效评价指标体系</w:t>
      </w:r>
    </w:p>
    <w:tbl>
      <w:tblPr>
        <w:tblStyle w:val="14"/>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794"/>
        <w:gridCol w:w="1371"/>
        <w:gridCol w:w="502"/>
        <w:gridCol w:w="4494"/>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920" w:type="dxa"/>
          </w:tcPr>
          <w:p>
            <w:pPr>
              <w:spacing w:line="240" w:lineRule="exact"/>
              <w:jc w:val="center"/>
              <w:rPr>
                <w:rFonts w:ascii="宋体" w:hAnsi="宋体"/>
                <w:b/>
                <w:kern w:val="0"/>
                <w:sz w:val="19"/>
                <w:szCs w:val="21"/>
              </w:rPr>
            </w:pPr>
            <w:r>
              <w:rPr>
                <w:rFonts w:hint="eastAsia" w:ascii="宋体" w:hAnsi="宋体"/>
                <w:b/>
                <w:kern w:val="0"/>
                <w:sz w:val="19"/>
                <w:szCs w:val="21"/>
              </w:rPr>
              <w:t>一级</w:t>
            </w:r>
          </w:p>
          <w:p>
            <w:pPr>
              <w:spacing w:line="240" w:lineRule="exact"/>
              <w:jc w:val="center"/>
              <w:rPr>
                <w:rFonts w:ascii="宋体" w:hAnsi="宋体"/>
                <w:b/>
                <w:kern w:val="0"/>
                <w:sz w:val="19"/>
                <w:szCs w:val="21"/>
              </w:rPr>
            </w:pPr>
            <w:r>
              <w:rPr>
                <w:rFonts w:hint="eastAsia" w:ascii="宋体" w:hAnsi="宋体"/>
                <w:b/>
                <w:kern w:val="0"/>
                <w:sz w:val="19"/>
                <w:szCs w:val="21"/>
              </w:rPr>
              <w:t>指标</w:t>
            </w:r>
          </w:p>
        </w:tc>
        <w:tc>
          <w:tcPr>
            <w:tcW w:w="794" w:type="dxa"/>
          </w:tcPr>
          <w:p>
            <w:pPr>
              <w:spacing w:line="240" w:lineRule="exact"/>
              <w:jc w:val="center"/>
              <w:rPr>
                <w:rFonts w:ascii="宋体" w:hAnsi="宋体"/>
                <w:b/>
                <w:kern w:val="0"/>
                <w:sz w:val="19"/>
                <w:szCs w:val="21"/>
              </w:rPr>
            </w:pPr>
            <w:r>
              <w:rPr>
                <w:rFonts w:hint="eastAsia" w:ascii="宋体" w:hAnsi="宋体"/>
                <w:b/>
                <w:kern w:val="0"/>
                <w:sz w:val="19"/>
                <w:szCs w:val="21"/>
              </w:rPr>
              <w:t>二级</w:t>
            </w:r>
          </w:p>
          <w:p>
            <w:pPr>
              <w:spacing w:line="240" w:lineRule="exact"/>
              <w:jc w:val="center"/>
              <w:rPr>
                <w:rFonts w:ascii="宋体" w:hAnsi="宋体"/>
                <w:b/>
                <w:kern w:val="0"/>
                <w:sz w:val="19"/>
                <w:szCs w:val="21"/>
              </w:rPr>
            </w:pPr>
            <w:r>
              <w:rPr>
                <w:rFonts w:hint="eastAsia" w:ascii="宋体" w:hAnsi="宋体"/>
                <w:b/>
                <w:kern w:val="0"/>
                <w:sz w:val="19"/>
                <w:szCs w:val="21"/>
              </w:rPr>
              <w:t>指标</w:t>
            </w:r>
          </w:p>
        </w:tc>
        <w:tc>
          <w:tcPr>
            <w:tcW w:w="1371" w:type="dxa"/>
          </w:tcPr>
          <w:p>
            <w:pPr>
              <w:spacing w:line="240" w:lineRule="exact"/>
              <w:jc w:val="center"/>
              <w:rPr>
                <w:rFonts w:ascii="宋体" w:hAnsi="宋体"/>
                <w:b/>
                <w:kern w:val="0"/>
                <w:sz w:val="19"/>
                <w:szCs w:val="21"/>
              </w:rPr>
            </w:pPr>
            <w:r>
              <w:rPr>
                <w:rFonts w:hint="eastAsia" w:ascii="宋体" w:hAnsi="宋体"/>
                <w:b/>
                <w:kern w:val="0"/>
                <w:sz w:val="19"/>
                <w:szCs w:val="21"/>
              </w:rPr>
              <w:t>三级指标</w:t>
            </w:r>
          </w:p>
        </w:tc>
        <w:tc>
          <w:tcPr>
            <w:tcW w:w="502" w:type="dxa"/>
          </w:tcPr>
          <w:p>
            <w:pPr>
              <w:spacing w:line="240" w:lineRule="exact"/>
              <w:jc w:val="center"/>
              <w:rPr>
                <w:rFonts w:ascii="宋体" w:hAnsi="宋体"/>
                <w:b/>
                <w:kern w:val="0"/>
                <w:sz w:val="19"/>
                <w:szCs w:val="21"/>
              </w:rPr>
            </w:pPr>
            <w:r>
              <w:rPr>
                <w:rFonts w:hint="eastAsia" w:ascii="宋体" w:hAnsi="宋体"/>
                <w:b/>
                <w:kern w:val="0"/>
                <w:sz w:val="19"/>
                <w:szCs w:val="21"/>
              </w:rPr>
              <w:t>分值</w:t>
            </w:r>
          </w:p>
        </w:tc>
        <w:tc>
          <w:tcPr>
            <w:tcW w:w="4494" w:type="dxa"/>
          </w:tcPr>
          <w:p>
            <w:pPr>
              <w:spacing w:line="240" w:lineRule="exact"/>
              <w:jc w:val="center"/>
              <w:rPr>
                <w:rFonts w:ascii="宋体" w:hAnsi="宋体"/>
                <w:b/>
                <w:kern w:val="0"/>
                <w:sz w:val="19"/>
                <w:szCs w:val="21"/>
              </w:rPr>
            </w:pPr>
            <w:r>
              <w:rPr>
                <w:rFonts w:hint="eastAsia" w:ascii="宋体" w:hAnsi="宋体"/>
                <w:b/>
                <w:kern w:val="0"/>
                <w:sz w:val="19"/>
                <w:szCs w:val="21"/>
              </w:rPr>
              <w:t>指标评价内容</w:t>
            </w:r>
          </w:p>
          <w:p>
            <w:pPr>
              <w:spacing w:line="240" w:lineRule="exact"/>
              <w:jc w:val="center"/>
              <w:rPr>
                <w:rFonts w:ascii="宋体" w:hAnsi="宋体"/>
                <w:b/>
                <w:kern w:val="0"/>
                <w:sz w:val="19"/>
                <w:szCs w:val="21"/>
              </w:rPr>
            </w:pPr>
            <w:r>
              <w:rPr>
                <w:rFonts w:hint="eastAsia" w:ascii="宋体" w:hAnsi="宋体"/>
                <w:b/>
                <w:kern w:val="0"/>
                <w:sz w:val="19"/>
                <w:szCs w:val="21"/>
              </w:rPr>
              <w:t>（公式计算结果＝X）</w:t>
            </w:r>
          </w:p>
        </w:tc>
        <w:tc>
          <w:tcPr>
            <w:tcW w:w="850" w:type="dxa"/>
            <w:shd w:val="clear" w:color="auto" w:fill="auto"/>
          </w:tcPr>
          <w:p>
            <w:pPr>
              <w:widowControl/>
              <w:jc w:val="left"/>
              <w:rPr>
                <w:rFonts w:ascii="宋体" w:hAnsi="宋体"/>
                <w:b/>
                <w:kern w:val="0"/>
                <w:sz w:val="19"/>
                <w:szCs w:val="21"/>
              </w:rPr>
            </w:pPr>
            <w:r>
              <w:rPr>
                <w:rFonts w:hint="eastAsia" w:ascii="宋体" w:hAnsi="宋体"/>
                <w:b/>
                <w:kern w:val="0"/>
                <w:sz w:val="19"/>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920" w:type="dxa"/>
            <w:vMerge w:val="restart"/>
            <w:textDirection w:val="tbRlV"/>
          </w:tcPr>
          <w:p>
            <w:pPr>
              <w:spacing w:line="240" w:lineRule="exact"/>
              <w:ind w:left="113" w:right="113"/>
              <w:jc w:val="center"/>
              <w:rPr>
                <w:rFonts w:ascii="宋体" w:hAnsi="宋体"/>
                <w:kern w:val="0"/>
                <w:sz w:val="19"/>
                <w:szCs w:val="21"/>
              </w:rPr>
            </w:pPr>
            <w:r>
              <w:rPr>
                <w:rFonts w:hint="eastAsia" w:ascii="宋体" w:hAnsi="宋体"/>
                <w:kern w:val="0"/>
                <w:sz w:val="19"/>
                <w:szCs w:val="21"/>
              </w:rPr>
              <w:t>（20分）</w:t>
            </w:r>
          </w:p>
          <w:p>
            <w:pPr>
              <w:spacing w:line="240" w:lineRule="exact"/>
              <w:ind w:left="113" w:right="113"/>
              <w:jc w:val="center"/>
              <w:rPr>
                <w:rFonts w:ascii="宋体" w:hAnsi="宋体"/>
                <w:kern w:val="0"/>
                <w:sz w:val="19"/>
                <w:szCs w:val="21"/>
              </w:rPr>
            </w:pPr>
            <w:r>
              <w:rPr>
                <w:rFonts w:hint="eastAsia" w:ascii="宋体" w:hAnsi="宋体"/>
                <w:kern w:val="0"/>
                <w:sz w:val="19"/>
                <w:szCs w:val="21"/>
              </w:rPr>
              <w:t>项目决策</w:t>
            </w:r>
          </w:p>
        </w:tc>
        <w:tc>
          <w:tcPr>
            <w:tcW w:w="794" w:type="dxa"/>
            <w:vMerge w:val="restart"/>
            <w:textDirection w:val="tbRlV"/>
          </w:tcPr>
          <w:p>
            <w:pPr>
              <w:spacing w:line="240" w:lineRule="exact"/>
              <w:ind w:left="113" w:right="113"/>
              <w:jc w:val="center"/>
              <w:rPr>
                <w:rFonts w:ascii="宋体" w:hAnsi="宋体"/>
                <w:kern w:val="0"/>
                <w:sz w:val="19"/>
                <w:szCs w:val="21"/>
              </w:rPr>
            </w:pPr>
            <w:r>
              <w:rPr>
                <w:rFonts w:hint="eastAsia" w:ascii="宋体" w:hAnsi="宋体"/>
                <w:kern w:val="0"/>
                <w:sz w:val="19"/>
                <w:szCs w:val="21"/>
              </w:rPr>
              <w:t>（10分）</w:t>
            </w:r>
          </w:p>
          <w:p>
            <w:pPr>
              <w:spacing w:line="240" w:lineRule="exact"/>
              <w:ind w:left="113" w:right="113"/>
              <w:jc w:val="center"/>
              <w:rPr>
                <w:rFonts w:ascii="宋体" w:hAnsi="宋体"/>
                <w:kern w:val="0"/>
                <w:sz w:val="19"/>
                <w:szCs w:val="21"/>
              </w:rPr>
            </w:pPr>
            <w:r>
              <w:rPr>
                <w:rFonts w:hint="eastAsia" w:ascii="宋体" w:hAnsi="宋体"/>
                <w:kern w:val="0"/>
                <w:sz w:val="19"/>
                <w:szCs w:val="21"/>
              </w:rPr>
              <w:t>科学决策</w:t>
            </w:r>
          </w:p>
        </w:tc>
        <w:tc>
          <w:tcPr>
            <w:tcW w:w="1371" w:type="dxa"/>
          </w:tcPr>
          <w:p>
            <w:pPr>
              <w:spacing w:line="240" w:lineRule="exact"/>
              <w:jc w:val="center"/>
              <w:rPr>
                <w:rFonts w:ascii="宋体" w:hAnsi="宋体"/>
                <w:kern w:val="0"/>
                <w:sz w:val="19"/>
                <w:szCs w:val="21"/>
              </w:rPr>
            </w:pPr>
            <w:r>
              <w:rPr>
                <w:rFonts w:hint="eastAsia" w:ascii="宋体" w:hAnsi="宋体"/>
                <w:kern w:val="0"/>
                <w:sz w:val="19"/>
                <w:szCs w:val="21"/>
              </w:rPr>
              <w:t>必要性</w:t>
            </w:r>
          </w:p>
          <w:p>
            <w:pPr>
              <w:spacing w:line="240" w:lineRule="exact"/>
              <w:jc w:val="center"/>
              <w:rPr>
                <w:rFonts w:ascii="宋体" w:hAnsi="宋体"/>
                <w:kern w:val="0"/>
                <w:sz w:val="19"/>
                <w:szCs w:val="21"/>
              </w:rPr>
            </w:pPr>
            <w:r>
              <w:rPr>
                <w:rFonts w:hint="eastAsia" w:ascii="宋体" w:hAnsi="宋体"/>
                <w:kern w:val="0"/>
                <w:sz w:val="19"/>
                <w:szCs w:val="21"/>
              </w:rPr>
              <w:t>（政策依据）</w:t>
            </w:r>
          </w:p>
        </w:tc>
        <w:tc>
          <w:tcPr>
            <w:tcW w:w="502" w:type="dxa"/>
          </w:tcPr>
          <w:p>
            <w:pPr>
              <w:spacing w:line="240" w:lineRule="exact"/>
              <w:jc w:val="center"/>
              <w:rPr>
                <w:rFonts w:ascii="宋体" w:hAnsi="宋体"/>
                <w:kern w:val="0"/>
                <w:sz w:val="19"/>
                <w:szCs w:val="21"/>
              </w:rPr>
            </w:pPr>
            <w:r>
              <w:rPr>
                <w:rFonts w:hint="eastAsia" w:ascii="宋体" w:hAnsi="宋体"/>
                <w:kern w:val="0"/>
                <w:sz w:val="19"/>
                <w:szCs w:val="21"/>
              </w:rPr>
              <w:t>5</w:t>
            </w:r>
          </w:p>
        </w:tc>
        <w:tc>
          <w:tcPr>
            <w:tcW w:w="4494" w:type="dxa"/>
          </w:tcPr>
          <w:p>
            <w:pPr>
              <w:spacing w:line="240" w:lineRule="exact"/>
              <w:rPr>
                <w:rFonts w:ascii="宋体" w:hAnsi="宋体"/>
                <w:kern w:val="0"/>
                <w:sz w:val="19"/>
                <w:szCs w:val="21"/>
              </w:rPr>
            </w:pPr>
            <w:r>
              <w:rPr>
                <w:rFonts w:hint="eastAsia" w:ascii="宋体" w:hAnsi="宋体"/>
                <w:kern w:val="0"/>
                <w:sz w:val="19"/>
                <w:szCs w:val="21"/>
              </w:rPr>
              <w:t>项目符合党中央、国务院和省委、省政府决策部署；符合当前经济社会发展需要，政策和实际需求的吻合程度分析</w:t>
            </w:r>
          </w:p>
        </w:tc>
        <w:tc>
          <w:tcPr>
            <w:tcW w:w="850" w:type="dxa"/>
            <w:shd w:val="clear" w:color="auto" w:fill="auto"/>
          </w:tcPr>
          <w:p>
            <w:pPr>
              <w:spacing w:line="240" w:lineRule="exact"/>
              <w:jc w:val="center"/>
              <w:rPr>
                <w:rFonts w:ascii="宋体" w:hAnsi="宋体"/>
                <w:kern w:val="0"/>
                <w:sz w:val="19"/>
                <w:szCs w:val="21"/>
              </w:rPr>
            </w:pPr>
            <w:r>
              <w:rPr>
                <w:rFonts w:hint="eastAsia" w:ascii="宋体" w:hAnsi="宋体"/>
                <w:kern w:val="0"/>
                <w:sz w:val="19"/>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920" w:type="dxa"/>
            <w:vMerge w:val="continue"/>
            <w:textDirection w:val="tbRlV"/>
          </w:tcPr>
          <w:p>
            <w:pPr>
              <w:spacing w:line="240" w:lineRule="exact"/>
              <w:ind w:left="113" w:right="113"/>
              <w:jc w:val="center"/>
              <w:rPr>
                <w:rFonts w:ascii="宋体" w:hAnsi="宋体"/>
                <w:kern w:val="0"/>
                <w:sz w:val="19"/>
                <w:szCs w:val="21"/>
              </w:rPr>
            </w:pPr>
          </w:p>
        </w:tc>
        <w:tc>
          <w:tcPr>
            <w:tcW w:w="794" w:type="dxa"/>
            <w:vMerge w:val="continue"/>
            <w:textDirection w:val="tbRlV"/>
          </w:tcPr>
          <w:p>
            <w:pPr>
              <w:spacing w:line="240" w:lineRule="exact"/>
              <w:ind w:left="113" w:right="113"/>
              <w:jc w:val="center"/>
              <w:rPr>
                <w:rFonts w:ascii="宋体" w:hAnsi="宋体"/>
                <w:kern w:val="0"/>
                <w:sz w:val="19"/>
                <w:szCs w:val="21"/>
              </w:rPr>
            </w:pPr>
          </w:p>
        </w:tc>
        <w:tc>
          <w:tcPr>
            <w:tcW w:w="1371" w:type="dxa"/>
          </w:tcPr>
          <w:p>
            <w:pPr>
              <w:spacing w:line="240" w:lineRule="exact"/>
              <w:jc w:val="center"/>
              <w:rPr>
                <w:rFonts w:ascii="宋体" w:hAnsi="宋体"/>
                <w:kern w:val="0"/>
                <w:sz w:val="19"/>
                <w:szCs w:val="21"/>
              </w:rPr>
            </w:pPr>
            <w:r>
              <w:rPr>
                <w:rFonts w:hint="eastAsia" w:ascii="宋体" w:hAnsi="宋体"/>
                <w:kern w:val="0"/>
                <w:sz w:val="19"/>
                <w:szCs w:val="21"/>
              </w:rPr>
              <w:t>可行性</w:t>
            </w:r>
          </w:p>
          <w:p>
            <w:pPr>
              <w:spacing w:line="240" w:lineRule="exact"/>
              <w:jc w:val="center"/>
              <w:rPr>
                <w:rFonts w:ascii="宋体" w:hAnsi="宋体"/>
                <w:kern w:val="0"/>
                <w:sz w:val="19"/>
                <w:szCs w:val="21"/>
              </w:rPr>
            </w:pPr>
            <w:r>
              <w:rPr>
                <w:rFonts w:hint="eastAsia" w:ascii="宋体" w:hAnsi="宋体"/>
                <w:kern w:val="0"/>
                <w:sz w:val="19"/>
                <w:szCs w:val="21"/>
              </w:rPr>
              <w:t>（政策完善）</w:t>
            </w:r>
          </w:p>
        </w:tc>
        <w:tc>
          <w:tcPr>
            <w:tcW w:w="502" w:type="dxa"/>
          </w:tcPr>
          <w:p>
            <w:pPr>
              <w:spacing w:line="240" w:lineRule="exact"/>
              <w:jc w:val="center"/>
              <w:rPr>
                <w:rFonts w:ascii="宋体" w:hAnsi="宋体"/>
                <w:kern w:val="0"/>
                <w:sz w:val="19"/>
                <w:szCs w:val="21"/>
              </w:rPr>
            </w:pPr>
            <w:r>
              <w:rPr>
                <w:rFonts w:hint="eastAsia" w:ascii="宋体" w:hAnsi="宋体"/>
                <w:kern w:val="0"/>
                <w:sz w:val="19"/>
                <w:szCs w:val="21"/>
              </w:rPr>
              <w:t>5</w:t>
            </w:r>
          </w:p>
        </w:tc>
        <w:tc>
          <w:tcPr>
            <w:tcW w:w="4494" w:type="dxa"/>
          </w:tcPr>
          <w:p>
            <w:pPr>
              <w:spacing w:line="240" w:lineRule="exact"/>
              <w:rPr>
                <w:rFonts w:ascii="宋体" w:hAnsi="宋体"/>
                <w:kern w:val="0"/>
                <w:sz w:val="19"/>
                <w:szCs w:val="21"/>
              </w:rPr>
            </w:pPr>
            <w:r>
              <w:rPr>
                <w:rFonts w:hint="eastAsia" w:ascii="宋体" w:hAnsi="宋体"/>
                <w:kern w:val="0"/>
                <w:sz w:val="19"/>
                <w:szCs w:val="21"/>
              </w:rPr>
              <w:t>可行性论证充分，规划、管理办法、指导意见等制度是否健全完善</w:t>
            </w:r>
          </w:p>
        </w:tc>
        <w:tc>
          <w:tcPr>
            <w:tcW w:w="850" w:type="dxa"/>
            <w:shd w:val="clear" w:color="auto" w:fill="auto"/>
          </w:tcPr>
          <w:p>
            <w:pPr>
              <w:spacing w:line="240" w:lineRule="exact"/>
              <w:jc w:val="center"/>
              <w:rPr>
                <w:rFonts w:ascii="宋体" w:hAnsi="宋体"/>
                <w:kern w:val="0"/>
                <w:sz w:val="19"/>
                <w:szCs w:val="21"/>
              </w:rPr>
            </w:pPr>
            <w:r>
              <w:rPr>
                <w:rFonts w:hint="eastAsia" w:ascii="宋体" w:hAnsi="宋体"/>
                <w:kern w:val="0"/>
                <w:sz w:val="19"/>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920" w:type="dxa"/>
            <w:vMerge w:val="continue"/>
            <w:textDirection w:val="tbRlV"/>
          </w:tcPr>
          <w:p>
            <w:pPr>
              <w:spacing w:line="240" w:lineRule="exact"/>
              <w:ind w:left="113" w:right="113"/>
              <w:jc w:val="center"/>
              <w:rPr>
                <w:rFonts w:ascii="宋体" w:hAnsi="宋体"/>
                <w:kern w:val="0"/>
                <w:sz w:val="19"/>
                <w:szCs w:val="21"/>
              </w:rPr>
            </w:pPr>
          </w:p>
        </w:tc>
        <w:tc>
          <w:tcPr>
            <w:tcW w:w="794" w:type="dxa"/>
            <w:vMerge w:val="restart"/>
            <w:textDirection w:val="tbRlV"/>
          </w:tcPr>
          <w:p>
            <w:pPr>
              <w:spacing w:line="240" w:lineRule="exact"/>
              <w:ind w:left="113" w:right="113"/>
              <w:jc w:val="center"/>
              <w:rPr>
                <w:rFonts w:ascii="宋体" w:hAnsi="宋体"/>
                <w:kern w:val="0"/>
                <w:sz w:val="19"/>
                <w:szCs w:val="21"/>
              </w:rPr>
            </w:pPr>
            <w:r>
              <w:rPr>
                <w:rFonts w:hint="eastAsia" w:ascii="宋体" w:hAnsi="宋体"/>
                <w:kern w:val="0"/>
                <w:sz w:val="19"/>
                <w:szCs w:val="21"/>
              </w:rPr>
              <w:t>（10分）</w:t>
            </w:r>
          </w:p>
          <w:p>
            <w:pPr>
              <w:spacing w:line="240" w:lineRule="exact"/>
              <w:ind w:left="113" w:right="113"/>
              <w:jc w:val="center"/>
              <w:rPr>
                <w:rFonts w:ascii="宋体" w:hAnsi="宋体"/>
                <w:kern w:val="0"/>
                <w:sz w:val="19"/>
                <w:szCs w:val="21"/>
              </w:rPr>
            </w:pPr>
            <w:r>
              <w:rPr>
                <w:rFonts w:hint="eastAsia" w:ascii="宋体" w:hAnsi="宋体"/>
                <w:kern w:val="0"/>
                <w:sz w:val="19"/>
                <w:szCs w:val="21"/>
              </w:rPr>
              <w:t>绩效目标</w:t>
            </w:r>
          </w:p>
        </w:tc>
        <w:tc>
          <w:tcPr>
            <w:tcW w:w="1371" w:type="dxa"/>
          </w:tcPr>
          <w:p>
            <w:pPr>
              <w:spacing w:line="240" w:lineRule="exact"/>
              <w:jc w:val="center"/>
              <w:rPr>
                <w:rFonts w:ascii="宋体" w:hAnsi="宋体"/>
                <w:kern w:val="0"/>
                <w:sz w:val="19"/>
                <w:szCs w:val="21"/>
              </w:rPr>
            </w:pPr>
            <w:r>
              <w:rPr>
                <w:rFonts w:hint="eastAsia" w:ascii="宋体" w:hAnsi="宋体"/>
                <w:kern w:val="0"/>
                <w:sz w:val="19"/>
                <w:szCs w:val="21"/>
              </w:rPr>
              <w:t>明确性</w:t>
            </w:r>
          </w:p>
        </w:tc>
        <w:tc>
          <w:tcPr>
            <w:tcW w:w="502" w:type="dxa"/>
          </w:tcPr>
          <w:p>
            <w:pPr>
              <w:spacing w:line="240" w:lineRule="exact"/>
              <w:jc w:val="center"/>
              <w:rPr>
                <w:rFonts w:ascii="宋体" w:hAnsi="宋体"/>
                <w:kern w:val="0"/>
                <w:sz w:val="19"/>
                <w:szCs w:val="21"/>
              </w:rPr>
            </w:pPr>
            <w:r>
              <w:rPr>
                <w:rFonts w:hint="eastAsia" w:ascii="宋体" w:hAnsi="宋体"/>
                <w:kern w:val="0"/>
                <w:sz w:val="19"/>
                <w:szCs w:val="21"/>
              </w:rPr>
              <w:t>5</w:t>
            </w:r>
          </w:p>
        </w:tc>
        <w:tc>
          <w:tcPr>
            <w:tcW w:w="4494" w:type="dxa"/>
          </w:tcPr>
          <w:p>
            <w:pPr>
              <w:spacing w:line="240" w:lineRule="exact"/>
              <w:rPr>
                <w:rFonts w:ascii="宋体" w:hAnsi="宋体"/>
                <w:kern w:val="0"/>
                <w:sz w:val="19"/>
                <w:szCs w:val="21"/>
              </w:rPr>
            </w:pPr>
            <w:r>
              <w:rPr>
                <w:rFonts w:hint="eastAsia" w:ascii="宋体" w:hAnsi="宋体"/>
                <w:kern w:val="0"/>
                <w:sz w:val="19"/>
                <w:szCs w:val="21"/>
              </w:rPr>
              <w:t>项目预期提供的产品、服务、效益或其他目标明确细化，可衡量</w:t>
            </w:r>
          </w:p>
        </w:tc>
        <w:tc>
          <w:tcPr>
            <w:tcW w:w="850" w:type="dxa"/>
            <w:shd w:val="clear" w:color="auto" w:fill="auto"/>
          </w:tcPr>
          <w:p>
            <w:pPr>
              <w:spacing w:line="240" w:lineRule="exact"/>
              <w:jc w:val="center"/>
              <w:rPr>
                <w:rFonts w:ascii="宋体" w:hAnsi="宋体"/>
                <w:kern w:val="0"/>
                <w:sz w:val="19"/>
                <w:szCs w:val="21"/>
              </w:rPr>
            </w:pPr>
            <w:r>
              <w:rPr>
                <w:rFonts w:hint="eastAsia" w:ascii="宋体" w:hAnsi="宋体"/>
                <w:kern w:val="0"/>
                <w:sz w:val="19"/>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920" w:type="dxa"/>
            <w:vMerge w:val="continue"/>
            <w:textDirection w:val="tbRlV"/>
          </w:tcPr>
          <w:p>
            <w:pPr>
              <w:spacing w:line="240" w:lineRule="exact"/>
              <w:ind w:left="113" w:right="113"/>
              <w:jc w:val="center"/>
              <w:rPr>
                <w:rFonts w:ascii="宋体" w:hAnsi="宋体"/>
                <w:kern w:val="0"/>
                <w:sz w:val="19"/>
                <w:szCs w:val="21"/>
              </w:rPr>
            </w:pPr>
          </w:p>
        </w:tc>
        <w:tc>
          <w:tcPr>
            <w:tcW w:w="794" w:type="dxa"/>
            <w:vMerge w:val="continue"/>
            <w:textDirection w:val="tbRlV"/>
          </w:tcPr>
          <w:p>
            <w:pPr>
              <w:spacing w:line="240" w:lineRule="exact"/>
              <w:ind w:left="113" w:right="113"/>
              <w:jc w:val="center"/>
              <w:rPr>
                <w:rFonts w:ascii="宋体" w:hAnsi="宋体"/>
                <w:kern w:val="0"/>
                <w:sz w:val="19"/>
                <w:szCs w:val="21"/>
              </w:rPr>
            </w:pPr>
          </w:p>
        </w:tc>
        <w:tc>
          <w:tcPr>
            <w:tcW w:w="1371" w:type="dxa"/>
          </w:tcPr>
          <w:p>
            <w:pPr>
              <w:spacing w:line="240" w:lineRule="exact"/>
              <w:jc w:val="center"/>
              <w:rPr>
                <w:rFonts w:ascii="宋体" w:hAnsi="宋体"/>
                <w:kern w:val="0"/>
                <w:sz w:val="19"/>
                <w:szCs w:val="21"/>
              </w:rPr>
            </w:pPr>
            <w:r>
              <w:rPr>
                <w:rFonts w:hint="eastAsia" w:ascii="宋体" w:hAnsi="宋体"/>
                <w:kern w:val="0"/>
                <w:sz w:val="19"/>
                <w:szCs w:val="21"/>
              </w:rPr>
              <w:t>合理性</w:t>
            </w:r>
          </w:p>
        </w:tc>
        <w:tc>
          <w:tcPr>
            <w:tcW w:w="502" w:type="dxa"/>
          </w:tcPr>
          <w:p>
            <w:pPr>
              <w:spacing w:line="240" w:lineRule="exact"/>
              <w:jc w:val="center"/>
              <w:rPr>
                <w:rFonts w:ascii="宋体" w:hAnsi="宋体"/>
                <w:kern w:val="0"/>
                <w:sz w:val="19"/>
                <w:szCs w:val="21"/>
              </w:rPr>
            </w:pPr>
            <w:r>
              <w:rPr>
                <w:rFonts w:hint="eastAsia" w:ascii="宋体" w:hAnsi="宋体"/>
                <w:kern w:val="0"/>
                <w:sz w:val="19"/>
                <w:szCs w:val="21"/>
              </w:rPr>
              <w:t>5</w:t>
            </w:r>
          </w:p>
        </w:tc>
        <w:tc>
          <w:tcPr>
            <w:tcW w:w="4494" w:type="dxa"/>
          </w:tcPr>
          <w:p>
            <w:pPr>
              <w:spacing w:line="240" w:lineRule="exact"/>
              <w:rPr>
                <w:rFonts w:ascii="宋体" w:hAnsi="宋体"/>
                <w:kern w:val="0"/>
                <w:sz w:val="19"/>
                <w:szCs w:val="21"/>
              </w:rPr>
            </w:pPr>
            <w:r>
              <w:rPr>
                <w:rFonts w:hint="eastAsia" w:ascii="宋体" w:hAnsi="宋体"/>
                <w:kern w:val="0"/>
                <w:sz w:val="19"/>
                <w:szCs w:val="21"/>
              </w:rPr>
              <w:t>绩效目标设定符合实际需求，合理可行</w:t>
            </w:r>
          </w:p>
        </w:tc>
        <w:tc>
          <w:tcPr>
            <w:tcW w:w="850" w:type="dxa"/>
            <w:shd w:val="clear" w:color="auto" w:fill="auto"/>
          </w:tcPr>
          <w:p>
            <w:pPr>
              <w:spacing w:line="240" w:lineRule="exact"/>
              <w:jc w:val="center"/>
              <w:rPr>
                <w:rFonts w:ascii="宋体" w:hAnsi="宋体"/>
                <w:kern w:val="0"/>
                <w:sz w:val="19"/>
                <w:szCs w:val="21"/>
              </w:rPr>
            </w:pPr>
            <w:r>
              <w:rPr>
                <w:rFonts w:hint="eastAsia" w:ascii="宋体" w:hAnsi="宋体"/>
                <w:kern w:val="0"/>
                <w:sz w:val="19"/>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920" w:type="dxa"/>
            <w:vMerge w:val="restart"/>
            <w:textDirection w:val="tbRlV"/>
          </w:tcPr>
          <w:p>
            <w:pPr>
              <w:spacing w:line="240" w:lineRule="exact"/>
              <w:ind w:left="113" w:right="113"/>
              <w:jc w:val="center"/>
              <w:rPr>
                <w:rFonts w:ascii="宋体" w:hAnsi="宋体"/>
                <w:kern w:val="0"/>
                <w:sz w:val="19"/>
                <w:szCs w:val="21"/>
              </w:rPr>
            </w:pPr>
            <w:r>
              <w:rPr>
                <w:rFonts w:hint="eastAsia" w:ascii="宋体" w:hAnsi="宋体"/>
                <w:kern w:val="0"/>
                <w:sz w:val="19"/>
                <w:szCs w:val="21"/>
              </w:rPr>
              <w:t>（10分）</w:t>
            </w:r>
          </w:p>
          <w:p>
            <w:pPr>
              <w:spacing w:line="240" w:lineRule="exact"/>
              <w:ind w:left="113" w:right="113"/>
              <w:jc w:val="center"/>
              <w:rPr>
                <w:rFonts w:ascii="宋体" w:hAnsi="宋体"/>
                <w:kern w:val="0"/>
                <w:sz w:val="19"/>
                <w:szCs w:val="21"/>
              </w:rPr>
            </w:pPr>
            <w:r>
              <w:rPr>
                <w:rFonts w:hint="eastAsia" w:ascii="宋体" w:hAnsi="宋体"/>
                <w:kern w:val="0"/>
                <w:sz w:val="19"/>
                <w:szCs w:val="21"/>
              </w:rPr>
              <w:t>项目管理</w:t>
            </w:r>
          </w:p>
        </w:tc>
        <w:tc>
          <w:tcPr>
            <w:tcW w:w="794" w:type="dxa"/>
            <w:vMerge w:val="restart"/>
            <w:textDirection w:val="tbRlV"/>
          </w:tcPr>
          <w:p>
            <w:pPr>
              <w:spacing w:line="240" w:lineRule="exact"/>
              <w:ind w:left="113" w:right="113"/>
              <w:jc w:val="center"/>
              <w:rPr>
                <w:rFonts w:ascii="宋体" w:hAnsi="宋体"/>
                <w:kern w:val="0"/>
                <w:sz w:val="19"/>
                <w:szCs w:val="21"/>
              </w:rPr>
            </w:pPr>
            <w:r>
              <w:rPr>
                <w:rFonts w:hint="eastAsia" w:ascii="宋体" w:hAnsi="宋体"/>
                <w:kern w:val="0"/>
                <w:sz w:val="19"/>
                <w:szCs w:val="21"/>
              </w:rPr>
              <w:t>（7分）</w:t>
            </w:r>
          </w:p>
          <w:p>
            <w:pPr>
              <w:spacing w:line="240" w:lineRule="exact"/>
              <w:ind w:left="113" w:right="113"/>
              <w:jc w:val="center"/>
              <w:rPr>
                <w:rFonts w:ascii="宋体" w:hAnsi="宋体"/>
                <w:kern w:val="0"/>
                <w:sz w:val="19"/>
                <w:szCs w:val="21"/>
              </w:rPr>
            </w:pPr>
            <w:r>
              <w:rPr>
                <w:rFonts w:hint="eastAsia" w:ascii="宋体" w:hAnsi="宋体"/>
                <w:kern w:val="0"/>
                <w:sz w:val="19"/>
                <w:szCs w:val="21"/>
              </w:rPr>
              <w:t>资金管理</w:t>
            </w:r>
          </w:p>
        </w:tc>
        <w:tc>
          <w:tcPr>
            <w:tcW w:w="1371" w:type="dxa"/>
          </w:tcPr>
          <w:p>
            <w:pPr>
              <w:spacing w:line="240" w:lineRule="exact"/>
              <w:jc w:val="center"/>
              <w:rPr>
                <w:rFonts w:ascii="宋体" w:hAnsi="宋体"/>
                <w:kern w:val="0"/>
                <w:sz w:val="19"/>
                <w:szCs w:val="21"/>
              </w:rPr>
            </w:pPr>
            <w:r>
              <w:rPr>
                <w:rFonts w:hint="eastAsia" w:ascii="宋体" w:hAnsi="宋体"/>
                <w:kern w:val="0"/>
                <w:sz w:val="19"/>
                <w:szCs w:val="21"/>
              </w:rPr>
              <w:t>资金分配</w:t>
            </w:r>
          </w:p>
        </w:tc>
        <w:tc>
          <w:tcPr>
            <w:tcW w:w="502" w:type="dxa"/>
          </w:tcPr>
          <w:p>
            <w:pPr>
              <w:spacing w:line="240" w:lineRule="exact"/>
              <w:jc w:val="center"/>
              <w:rPr>
                <w:rFonts w:ascii="宋体" w:hAnsi="宋体"/>
                <w:kern w:val="0"/>
                <w:sz w:val="19"/>
                <w:szCs w:val="21"/>
              </w:rPr>
            </w:pPr>
            <w:r>
              <w:rPr>
                <w:rFonts w:hint="eastAsia" w:ascii="宋体" w:hAnsi="宋体"/>
                <w:kern w:val="0"/>
                <w:sz w:val="19"/>
                <w:szCs w:val="21"/>
              </w:rPr>
              <w:t>3</w:t>
            </w:r>
          </w:p>
        </w:tc>
        <w:tc>
          <w:tcPr>
            <w:tcW w:w="4494" w:type="dxa"/>
          </w:tcPr>
          <w:p>
            <w:pPr>
              <w:spacing w:line="240" w:lineRule="exact"/>
              <w:rPr>
                <w:rFonts w:ascii="宋体" w:hAnsi="宋体"/>
                <w:kern w:val="0"/>
                <w:sz w:val="19"/>
                <w:szCs w:val="21"/>
              </w:rPr>
            </w:pPr>
            <w:r>
              <w:rPr>
                <w:rFonts w:hint="eastAsia" w:ascii="宋体" w:hAnsi="宋体"/>
                <w:kern w:val="0"/>
                <w:sz w:val="19"/>
                <w:szCs w:val="21"/>
              </w:rPr>
              <w:t>资金分配管理是否科学合理、规范有序;是否体现突出重点或公平性，符合财政资金改革方向</w:t>
            </w:r>
          </w:p>
        </w:tc>
        <w:tc>
          <w:tcPr>
            <w:tcW w:w="850" w:type="dxa"/>
            <w:shd w:val="clear" w:color="auto" w:fill="auto"/>
          </w:tcPr>
          <w:p>
            <w:pPr>
              <w:spacing w:line="240" w:lineRule="exact"/>
              <w:jc w:val="center"/>
              <w:rPr>
                <w:rFonts w:ascii="宋体" w:hAnsi="宋体"/>
                <w:kern w:val="0"/>
                <w:sz w:val="19"/>
                <w:szCs w:val="21"/>
              </w:rPr>
            </w:pPr>
            <w:r>
              <w:rPr>
                <w:rFonts w:hint="eastAsia" w:ascii="宋体" w:hAnsi="宋体"/>
                <w:kern w:val="0"/>
                <w:sz w:val="19"/>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920" w:type="dxa"/>
            <w:vMerge w:val="continue"/>
            <w:textDirection w:val="tbRlV"/>
          </w:tcPr>
          <w:p>
            <w:pPr>
              <w:spacing w:line="240" w:lineRule="exact"/>
              <w:ind w:left="113" w:right="113"/>
              <w:jc w:val="center"/>
              <w:rPr>
                <w:rFonts w:ascii="宋体" w:hAnsi="宋体"/>
                <w:kern w:val="0"/>
                <w:sz w:val="19"/>
                <w:szCs w:val="21"/>
              </w:rPr>
            </w:pPr>
          </w:p>
        </w:tc>
        <w:tc>
          <w:tcPr>
            <w:tcW w:w="794" w:type="dxa"/>
            <w:vMerge w:val="continue"/>
            <w:textDirection w:val="tbRlV"/>
          </w:tcPr>
          <w:p>
            <w:pPr>
              <w:spacing w:line="240" w:lineRule="exact"/>
              <w:ind w:left="113" w:right="113"/>
              <w:jc w:val="center"/>
              <w:rPr>
                <w:rFonts w:ascii="宋体" w:hAnsi="宋体"/>
                <w:kern w:val="0"/>
                <w:sz w:val="19"/>
                <w:szCs w:val="21"/>
              </w:rPr>
            </w:pPr>
          </w:p>
        </w:tc>
        <w:tc>
          <w:tcPr>
            <w:tcW w:w="1371" w:type="dxa"/>
          </w:tcPr>
          <w:p>
            <w:pPr>
              <w:spacing w:line="240" w:lineRule="exact"/>
              <w:jc w:val="center"/>
              <w:rPr>
                <w:rFonts w:ascii="宋体" w:hAnsi="宋体"/>
                <w:kern w:val="0"/>
                <w:sz w:val="19"/>
                <w:szCs w:val="21"/>
              </w:rPr>
            </w:pPr>
            <w:r>
              <w:rPr>
                <w:rFonts w:hint="eastAsia" w:ascii="宋体" w:hAnsi="宋体"/>
                <w:kern w:val="0"/>
                <w:sz w:val="19"/>
                <w:szCs w:val="21"/>
              </w:rPr>
              <w:t>资金使用</w:t>
            </w:r>
          </w:p>
        </w:tc>
        <w:tc>
          <w:tcPr>
            <w:tcW w:w="502" w:type="dxa"/>
          </w:tcPr>
          <w:p>
            <w:pPr>
              <w:spacing w:line="240" w:lineRule="exact"/>
              <w:jc w:val="center"/>
              <w:rPr>
                <w:rFonts w:ascii="宋体" w:hAnsi="宋体"/>
                <w:kern w:val="0"/>
                <w:sz w:val="19"/>
                <w:szCs w:val="21"/>
              </w:rPr>
            </w:pPr>
            <w:r>
              <w:rPr>
                <w:rFonts w:hint="eastAsia" w:ascii="宋体" w:hAnsi="宋体"/>
                <w:kern w:val="0"/>
                <w:sz w:val="19"/>
                <w:szCs w:val="21"/>
              </w:rPr>
              <w:t>4</w:t>
            </w:r>
          </w:p>
        </w:tc>
        <w:tc>
          <w:tcPr>
            <w:tcW w:w="4494" w:type="dxa"/>
          </w:tcPr>
          <w:p>
            <w:pPr>
              <w:spacing w:line="240" w:lineRule="exact"/>
              <w:rPr>
                <w:rFonts w:ascii="宋体" w:hAnsi="宋体"/>
                <w:kern w:val="0"/>
                <w:sz w:val="19"/>
                <w:szCs w:val="21"/>
              </w:rPr>
            </w:pPr>
            <w:r>
              <w:rPr>
                <w:rFonts w:hint="eastAsia" w:ascii="宋体" w:hAnsi="宋体"/>
                <w:kern w:val="0"/>
                <w:sz w:val="19"/>
                <w:szCs w:val="21"/>
              </w:rPr>
              <w:t>资金使用规范</w:t>
            </w:r>
          </w:p>
        </w:tc>
        <w:tc>
          <w:tcPr>
            <w:tcW w:w="850" w:type="dxa"/>
            <w:shd w:val="clear" w:color="auto" w:fill="auto"/>
          </w:tcPr>
          <w:p>
            <w:pPr>
              <w:spacing w:line="240" w:lineRule="exact"/>
              <w:jc w:val="center"/>
              <w:rPr>
                <w:rFonts w:ascii="宋体" w:hAnsi="宋体"/>
                <w:kern w:val="0"/>
                <w:sz w:val="19"/>
                <w:szCs w:val="21"/>
              </w:rPr>
            </w:pPr>
            <w:r>
              <w:rPr>
                <w:rFonts w:hint="eastAsia" w:ascii="宋体" w:hAnsi="宋体"/>
                <w:kern w:val="0"/>
                <w:sz w:val="19"/>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920" w:type="dxa"/>
            <w:vMerge w:val="continue"/>
            <w:textDirection w:val="tbRlV"/>
          </w:tcPr>
          <w:p>
            <w:pPr>
              <w:spacing w:line="240" w:lineRule="exact"/>
              <w:ind w:left="113" w:right="113"/>
              <w:jc w:val="center"/>
              <w:rPr>
                <w:rFonts w:ascii="宋体" w:hAnsi="宋体"/>
                <w:kern w:val="0"/>
                <w:sz w:val="19"/>
                <w:szCs w:val="21"/>
              </w:rPr>
            </w:pPr>
          </w:p>
        </w:tc>
        <w:tc>
          <w:tcPr>
            <w:tcW w:w="794" w:type="dxa"/>
            <w:textDirection w:val="tbRlV"/>
          </w:tcPr>
          <w:p>
            <w:pPr>
              <w:spacing w:line="240" w:lineRule="exact"/>
              <w:ind w:left="113" w:right="113"/>
              <w:jc w:val="center"/>
              <w:rPr>
                <w:rFonts w:ascii="宋体" w:hAnsi="宋体"/>
                <w:kern w:val="0"/>
                <w:sz w:val="19"/>
                <w:szCs w:val="21"/>
              </w:rPr>
            </w:pPr>
            <w:r>
              <w:rPr>
                <w:rFonts w:hint="eastAsia" w:ascii="宋体" w:hAnsi="宋体"/>
                <w:kern w:val="0"/>
                <w:sz w:val="19"/>
                <w:szCs w:val="21"/>
              </w:rPr>
              <w:t>（3分）</w:t>
            </w:r>
          </w:p>
          <w:p>
            <w:pPr>
              <w:spacing w:line="240" w:lineRule="exact"/>
              <w:ind w:left="113" w:right="113"/>
              <w:jc w:val="center"/>
              <w:rPr>
                <w:rFonts w:ascii="宋体" w:hAnsi="宋体"/>
                <w:kern w:val="0"/>
                <w:sz w:val="19"/>
                <w:szCs w:val="21"/>
              </w:rPr>
            </w:pPr>
            <w:r>
              <w:rPr>
                <w:rFonts w:hint="eastAsia" w:ascii="宋体" w:hAnsi="宋体"/>
                <w:kern w:val="0"/>
                <w:sz w:val="19"/>
                <w:szCs w:val="21"/>
              </w:rPr>
              <w:t>项目执行</w:t>
            </w:r>
          </w:p>
        </w:tc>
        <w:tc>
          <w:tcPr>
            <w:tcW w:w="1371" w:type="dxa"/>
          </w:tcPr>
          <w:p>
            <w:pPr>
              <w:spacing w:line="240" w:lineRule="exact"/>
              <w:jc w:val="center"/>
              <w:rPr>
                <w:rFonts w:ascii="宋体" w:hAnsi="宋体"/>
                <w:kern w:val="0"/>
                <w:sz w:val="19"/>
                <w:szCs w:val="21"/>
              </w:rPr>
            </w:pPr>
            <w:r>
              <w:rPr>
                <w:rFonts w:hint="eastAsia" w:ascii="宋体" w:hAnsi="宋体"/>
                <w:kern w:val="0"/>
                <w:sz w:val="19"/>
                <w:szCs w:val="21"/>
              </w:rPr>
              <w:t>执行规范</w:t>
            </w:r>
          </w:p>
        </w:tc>
        <w:tc>
          <w:tcPr>
            <w:tcW w:w="502" w:type="dxa"/>
          </w:tcPr>
          <w:p>
            <w:pPr>
              <w:spacing w:line="240" w:lineRule="exact"/>
              <w:jc w:val="center"/>
              <w:rPr>
                <w:rFonts w:ascii="宋体" w:hAnsi="宋体"/>
                <w:kern w:val="0"/>
                <w:sz w:val="19"/>
                <w:szCs w:val="21"/>
              </w:rPr>
            </w:pPr>
            <w:r>
              <w:rPr>
                <w:rFonts w:hint="eastAsia" w:ascii="宋体" w:hAnsi="宋体"/>
                <w:kern w:val="0"/>
                <w:sz w:val="19"/>
                <w:szCs w:val="21"/>
              </w:rPr>
              <w:t>3</w:t>
            </w:r>
          </w:p>
        </w:tc>
        <w:tc>
          <w:tcPr>
            <w:tcW w:w="4494" w:type="dxa"/>
          </w:tcPr>
          <w:p>
            <w:pPr>
              <w:spacing w:line="240" w:lineRule="exact"/>
              <w:rPr>
                <w:rFonts w:ascii="宋体" w:hAnsi="宋体"/>
                <w:kern w:val="0"/>
                <w:sz w:val="19"/>
                <w:szCs w:val="21"/>
              </w:rPr>
            </w:pPr>
            <w:r>
              <w:rPr>
                <w:rFonts w:hint="eastAsia" w:ascii="宋体" w:hAnsi="宋体"/>
                <w:kern w:val="0"/>
                <w:sz w:val="19"/>
                <w:szCs w:val="21"/>
              </w:rPr>
              <w:t>管理制度健全，管理过程科学规范</w:t>
            </w:r>
          </w:p>
        </w:tc>
        <w:tc>
          <w:tcPr>
            <w:tcW w:w="850" w:type="dxa"/>
            <w:shd w:val="clear" w:color="auto" w:fill="auto"/>
          </w:tcPr>
          <w:p>
            <w:pPr>
              <w:spacing w:line="240" w:lineRule="exact"/>
              <w:jc w:val="center"/>
              <w:rPr>
                <w:rFonts w:ascii="宋体" w:hAnsi="宋体"/>
                <w:kern w:val="0"/>
                <w:sz w:val="19"/>
                <w:szCs w:val="21"/>
              </w:rPr>
            </w:pPr>
            <w:r>
              <w:rPr>
                <w:rFonts w:hint="eastAsia" w:ascii="宋体" w:hAnsi="宋体"/>
                <w:kern w:val="0"/>
                <w:sz w:val="19"/>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0" w:type="dxa"/>
            <w:vMerge w:val="restart"/>
            <w:textDirection w:val="tbRlV"/>
          </w:tcPr>
          <w:p>
            <w:pPr>
              <w:spacing w:line="240" w:lineRule="exact"/>
              <w:ind w:left="113" w:right="113"/>
              <w:jc w:val="center"/>
              <w:rPr>
                <w:rFonts w:ascii="宋体" w:hAnsi="宋体"/>
                <w:kern w:val="0"/>
                <w:sz w:val="19"/>
                <w:szCs w:val="21"/>
              </w:rPr>
            </w:pPr>
            <w:r>
              <w:rPr>
                <w:rFonts w:hint="eastAsia" w:ascii="宋体" w:hAnsi="宋体"/>
                <w:kern w:val="0"/>
                <w:sz w:val="19"/>
                <w:szCs w:val="21"/>
              </w:rPr>
              <w:t>（特性指标70分）</w:t>
            </w:r>
          </w:p>
          <w:p>
            <w:pPr>
              <w:spacing w:line="240" w:lineRule="exact"/>
              <w:ind w:left="113" w:right="113"/>
              <w:jc w:val="center"/>
              <w:rPr>
                <w:rFonts w:ascii="宋体" w:hAnsi="宋体"/>
                <w:kern w:val="0"/>
                <w:sz w:val="19"/>
                <w:szCs w:val="21"/>
              </w:rPr>
            </w:pPr>
            <w:r>
              <w:rPr>
                <w:rFonts w:hint="eastAsia" w:ascii="宋体" w:hAnsi="宋体"/>
                <w:kern w:val="0"/>
                <w:sz w:val="19"/>
                <w:szCs w:val="21"/>
              </w:rPr>
              <w:t>项目绩效</w:t>
            </w:r>
          </w:p>
        </w:tc>
        <w:tc>
          <w:tcPr>
            <w:tcW w:w="794" w:type="dxa"/>
            <w:vMerge w:val="restart"/>
            <w:textDirection w:val="tbRlV"/>
          </w:tcPr>
          <w:p>
            <w:pPr>
              <w:spacing w:line="240" w:lineRule="exact"/>
              <w:ind w:left="113" w:right="113"/>
              <w:jc w:val="center"/>
              <w:rPr>
                <w:rFonts w:ascii="宋体" w:hAnsi="宋体"/>
                <w:kern w:val="0"/>
                <w:sz w:val="19"/>
                <w:szCs w:val="21"/>
              </w:rPr>
            </w:pPr>
            <w:r>
              <w:rPr>
                <w:rFonts w:hint="eastAsia" w:ascii="宋体" w:hAnsi="宋体"/>
                <w:kern w:val="0"/>
                <w:sz w:val="19"/>
                <w:szCs w:val="21"/>
              </w:rPr>
              <w:t>（20分）</w:t>
            </w:r>
          </w:p>
          <w:p>
            <w:pPr>
              <w:spacing w:line="240" w:lineRule="exact"/>
              <w:ind w:left="113" w:right="113"/>
              <w:jc w:val="center"/>
              <w:rPr>
                <w:rFonts w:ascii="宋体" w:hAnsi="宋体"/>
                <w:kern w:val="0"/>
                <w:sz w:val="19"/>
                <w:szCs w:val="21"/>
              </w:rPr>
            </w:pPr>
            <w:r>
              <w:rPr>
                <w:rFonts w:hint="eastAsia" w:ascii="宋体" w:hAnsi="宋体"/>
                <w:kern w:val="0"/>
                <w:sz w:val="19"/>
                <w:szCs w:val="21"/>
              </w:rPr>
              <w:t>项目完成</w:t>
            </w:r>
          </w:p>
        </w:tc>
        <w:tc>
          <w:tcPr>
            <w:tcW w:w="1371" w:type="dxa"/>
          </w:tcPr>
          <w:p>
            <w:pPr>
              <w:spacing w:line="240" w:lineRule="exact"/>
              <w:jc w:val="center"/>
              <w:rPr>
                <w:rFonts w:ascii="宋体" w:hAnsi="宋体"/>
                <w:kern w:val="0"/>
                <w:sz w:val="19"/>
                <w:szCs w:val="21"/>
              </w:rPr>
            </w:pPr>
            <w:r>
              <w:rPr>
                <w:rFonts w:hint="eastAsia" w:ascii="宋体" w:hAnsi="宋体"/>
                <w:kern w:val="0"/>
                <w:sz w:val="19"/>
                <w:szCs w:val="21"/>
              </w:rPr>
              <w:t>完成数量</w:t>
            </w:r>
          </w:p>
        </w:tc>
        <w:tc>
          <w:tcPr>
            <w:tcW w:w="502" w:type="dxa"/>
          </w:tcPr>
          <w:p>
            <w:pPr>
              <w:spacing w:line="240" w:lineRule="exact"/>
              <w:jc w:val="center"/>
              <w:rPr>
                <w:rFonts w:ascii="宋体" w:hAnsi="宋体"/>
                <w:kern w:val="0"/>
                <w:sz w:val="19"/>
                <w:szCs w:val="21"/>
              </w:rPr>
            </w:pPr>
            <w:r>
              <w:rPr>
                <w:rFonts w:hint="eastAsia" w:ascii="宋体" w:hAnsi="宋体"/>
                <w:kern w:val="0"/>
                <w:sz w:val="19"/>
                <w:szCs w:val="21"/>
              </w:rPr>
              <w:t>5</w:t>
            </w:r>
          </w:p>
        </w:tc>
        <w:tc>
          <w:tcPr>
            <w:tcW w:w="4494" w:type="dxa"/>
          </w:tcPr>
          <w:p>
            <w:pPr>
              <w:spacing w:line="240" w:lineRule="exact"/>
              <w:rPr>
                <w:rFonts w:ascii="宋体" w:hAnsi="宋体"/>
                <w:kern w:val="0"/>
                <w:sz w:val="19"/>
                <w:szCs w:val="21"/>
              </w:rPr>
            </w:pPr>
            <w:r>
              <w:rPr>
                <w:rFonts w:hint="eastAsia" w:ascii="宋体" w:hAnsi="宋体"/>
                <w:kern w:val="0"/>
                <w:sz w:val="19"/>
                <w:szCs w:val="21"/>
              </w:rPr>
              <w:t>实际完成任务量/绩效目标设定任务量×100%</w:t>
            </w:r>
          </w:p>
        </w:tc>
        <w:tc>
          <w:tcPr>
            <w:tcW w:w="850" w:type="dxa"/>
            <w:shd w:val="clear" w:color="auto" w:fill="auto"/>
          </w:tcPr>
          <w:p>
            <w:pPr>
              <w:spacing w:line="240" w:lineRule="exact"/>
              <w:jc w:val="center"/>
              <w:rPr>
                <w:rFonts w:ascii="宋体" w:hAnsi="宋体"/>
                <w:kern w:val="0"/>
                <w:sz w:val="19"/>
                <w:szCs w:val="21"/>
              </w:rPr>
            </w:pPr>
            <w:r>
              <w:rPr>
                <w:rFonts w:hint="eastAsia" w:ascii="宋体" w:hAnsi="宋体"/>
                <w:kern w:val="0"/>
                <w:sz w:val="19"/>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20" w:type="dxa"/>
            <w:vMerge w:val="continue"/>
            <w:textDirection w:val="tbRlV"/>
          </w:tcPr>
          <w:p>
            <w:pPr>
              <w:spacing w:line="240" w:lineRule="exact"/>
              <w:ind w:left="113" w:right="113"/>
              <w:jc w:val="center"/>
              <w:rPr>
                <w:rFonts w:ascii="宋体" w:hAnsi="宋体"/>
                <w:kern w:val="0"/>
                <w:sz w:val="19"/>
                <w:szCs w:val="21"/>
              </w:rPr>
            </w:pPr>
          </w:p>
        </w:tc>
        <w:tc>
          <w:tcPr>
            <w:tcW w:w="794" w:type="dxa"/>
            <w:vMerge w:val="continue"/>
            <w:textDirection w:val="tbRlV"/>
          </w:tcPr>
          <w:p>
            <w:pPr>
              <w:spacing w:line="240" w:lineRule="exact"/>
              <w:ind w:left="113" w:right="113"/>
              <w:jc w:val="center"/>
              <w:rPr>
                <w:rFonts w:ascii="宋体" w:hAnsi="宋体"/>
                <w:kern w:val="0"/>
                <w:sz w:val="19"/>
                <w:szCs w:val="21"/>
              </w:rPr>
            </w:pPr>
          </w:p>
        </w:tc>
        <w:tc>
          <w:tcPr>
            <w:tcW w:w="1371" w:type="dxa"/>
          </w:tcPr>
          <w:p>
            <w:pPr>
              <w:spacing w:line="240" w:lineRule="exact"/>
              <w:jc w:val="center"/>
              <w:rPr>
                <w:rFonts w:ascii="宋体" w:hAnsi="宋体"/>
                <w:kern w:val="0"/>
                <w:sz w:val="19"/>
                <w:szCs w:val="21"/>
              </w:rPr>
            </w:pPr>
            <w:r>
              <w:rPr>
                <w:rFonts w:hint="eastAsia" w:ascii="宋体" w:hAnsi="宋体"/>
                <w:kern w:val="0"/>
                <w:sz w:val="19"/>
                <w:szCs w:val="21"/>
              </w:rPr>
              <w:t>完成质量</w:t>
            </w:r>
          </w:p>
        </w:tc>
        <w:tc>
          <w:tcPr>
            <w:tcW w:w="502" w:type="dxa"/>
          </w:tcPr>
          <w:p>
            <w:pPr>
              <w:spacing w:line="240" w:lineRule="exact"/>
              <w:jc w:val="center"/>
              <w:rPr>
                <w:rFonts w:ascii="宋体" w:hAnsi="宋体"/>
                <w:kern w:val="0"/>
                <w:sz w:val="19"/>
                <w:szCs w:val="21"/>
              </w:rPr>
            </w:pPr>
            <w:r>
              <w:rPr>
                <w:rFonts w:hint="eastAsia" w:ascii="宋体" w:hAnsi="宋体"/>
                <w:kern w:val="0"/>
                <w:sz w:val="19"/>
                <w:szCs w:val="21"/>
              </w:rPr>
              <w:t>5</w:t>
            </w:r>
          </w:p>
        </w:tc>
        <w:tc>
          <w:tcPr>
            <w:tcW w:w="4494" w:type="dxa"/>
          </w:tcPr>
          <w:p>
            <w:pPr>
              <w:spacing w:line="240" w:lineRule="exact"/>
              <w:rPr>
                <w:rFonts w:ascii="宋体" w:hAnsi="宋体"/>
                <w:kern w:val="0"/>
                <w:sz w:val="19"/>
                <w:szCs w:val="21"/>
              </w:rPr>
            </w:pPr>
            <w:r>
              <w:rPr>
                <w:rFonts w:hint="eastAsia" w:ascii="宋体" w:hAnsi="宋体"/>
                <w:kern w:val="0"/>
                <w:sz w:val="19"/>
                <w:szCs w:val="21"/>
              </w:rPr>
              <w:t>符合绩效目标设定的验收标准，达到行业基准水平</w:t>
            </w:r>
          </w:p>
        </w:tc>
        <w:tc>
          <w:tcPr>
            <w:tcW w:w="850" w:type="dxa"/>
            <w:shd w:val="clear" w:color="auto" w:fill="auto"/>
          </w:tcPr>
          <w:p>
            <w:pPr>
              <w:spacing w:line="240" w:lineRule="exact"/>
              <w:jc w:val="center"/>
              <w:rPr>
                <w:rFonts w:ascii="宋体" w:hAnsi="宋体"/>
                <w:kern w:val="0"/>
                <w:sz w:val="19"/>
                <w:szCs w:val="21"/>
              </w:rPr>
            </w:pPr>
            <w:r>
              <w:rPr>
                <w:rFonts w:hint="eastAsia" w:ascii="宋体" w:hAnsi="宋体"/>
                <w:kern w:val="0"/>
                <w:sz w:val="19"/>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920" w:type="dxa"/>
            <w:vMerge w:val="continue"/>
            <w:textDirection w:val="tbRlV"/>
          </w:tcPr>
          <w:p>
            <w:pPr>
              <w:spacing w:line="240" w:lineRule="exact"/>
              <w:ind w:left="113" w:right="113"/>
              <w:jc w:val="center"/>
              <w:rPr>
                <w:rFonts w:ascii="宋体" w:hAnsi="宋体"/>
                <w:kern w:val="0"/>
                <w:sz w:val="19"/>
                <w:szCs w:val="21"/>
              </w:rPr>
            </w:pPr>
          </w:p>
        </w:tc>
        <w:tc>
          <w:tcPr>
            <w:tcW w:w="794" w:type="dxa"/>
            <w:vMerge w:val="continue"/>
            <w:textDirection w:val="tbRlV"/>
          </w:tcPr>
          <w:p>
            <w:pPr>
              <w:spacing w:line="240" w:lineRule="exact"/>
              <w:ind w:left="113" w:right="113"/>
              <w:jc w:val="center"/>
              <w:rPr>
                <w:rFonts w:ascii="宋体" w:hAnsi="宋体"/>
                <w:kern w:val="0"/>
                <w:sz w:val="19"/>
                <w:szCs w:val="21"/>
              </w:rPr>
            </w:pPr>
          </w:p>
        </w:tc>
        <w:tc>
          <w:tcPr>
            <w:tcW w:w="1371" w:type="dxa"/>
          </w:tcPr>
          <w:p>
            <w:pPr>
              <w:spacing w:line="240" w:lineRule="exact"/>
              <w:jc w:val="center"/>
              <w:rPr>
                <w:rFonts w:ascii="宋体" w:hAnsi="宋体"/>
                <w:kern w:val="0"/>
                <w:sz w:val="19"/>
                <w:szCs w:val="21"/>
              </w:rPr>
            </w:pPr>
            <w:r>
              <w:rPr>
                <w:rFonts w:hint="eastAsia" w:ascii="宋体" w:hAnsi="宋体"/>
                <w:kern w:val="0"/>
                <w:sz w:val="19"/>
                <w:szCs w:val="21"/>
              </w:rPr>
              <w:t>完成时效</w:t>
            </w:r>
          </w:p>
        </w:tc>
        <w:tc>
          <w:tcPr>
            <w:tcW w:w="502" w:type="dxa"/>
          </w:tcPr>
          <w:p>
            <w:pPr>
              <w:spacing w:line="240" w:lineRule="exact"/>
              <w:jc w:val="center"/>
              <w:rPr>
                <w:rFonts w:ascii="宋体" w:hAnsi="宋体"/>
                <w:kern w:val="0"/>
                <w:sz w:val="19"/>
                <w:szCs w:val="21"/>
              </w:rPr>
            </w:pPr>
            <w:r>
              <w:rPr>
                <w:rFonts w:hint="eastAsia" w:ascii="宋体" w:hAnsi="宋体"/>
                <w:kern w:val="0"/>
                <w:sz w:val="19"/>
                <w:szCs w:val="21"/>
              </w:rPr>
              <w:t>5</w:t>
            </w:r>
          </w:p>
        </w:tc>
        <w:tc>
          <w:tcPr>
            <w:tcW w:w="4494" w:type="dxa"/>
          </w:tcPr>
          <w:p>
            <w:pPr>
              <w:spacing w:line="240" w:lineRule="exact"/>
              <w:rPr>
                <w:rFonts w:ascii="宋体" w:hAnsi="宋体"/>
                <w:kern w:val="0"/>
                <w:sz w:val="19"/>
                <w:szCs w:val="21"/>
              </w:rPr>
            </w:pPr>
            <w:r>
              <w:rPr>
                <w:rFonts w:hint="eastAsia" w:ascii="宋体" w:hAnsi="宋体"/>
                <w:kern w:val="0"/>
                <w:sz w:val="19"/>
                <w:szCs w:val="21"/>
              </w:rPr>
              <w:t>（实际完成时间-绩效目标设定完成时间）/绩效目标设定完成时间×100%</w:t>
            </w:r>
          </w:p>
        </w:tc>
        <w:tc>
          <w:tcPr>
            <w:tcW w:w="850" w:type="dxa"/>
            <w:shd w:val="clear" w:color="auto" w:fill="auto"/>
          </w:tcPr>
          <w:p>
            <w:pPr>
              <w:spacing w:line="240" w:lineRule="exact"/>
              <w:jc w:val="center"/>
              <w:rPr>
                <w:rFonts w:ascii="宋体" w:hAnsi="宋体"/>
                <w:kern w:val="0"/>
                <w:sz w:val="19"/>
                <w:szCs w:val="21"/>
              </w:rPr>
            </w:pPr>
            <w:r>
              <w:rPr>
                <w:rFonts w:hint="eastAsia" w:ascii="宋体" w:hAnsi="宋体"/>
                <w:kern w:val="0"/>
                <w:sz w:val="19"/>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920" w:type="dxa"/>
            <w:vMerge w:val="continue"/>
            <w:textDirection w:val="tbRlV"/>
          </w:tcPr>
          <w:p>
            <w:pPr>
              <w:spacing w:line="240" w:lineRule="exact"/>
              <w:ind w:left="113" w:right="113"/>
              <w:jc w:val="center"/>
              <w:rPr>
                <w:rFonts w:ascii="宋体" w:hAnsi="宋体"/>
                <w:kern w:val="0"/>
                <w:sz w:val="19"/>
                <w:szCs w:val="21"/>
              </w:rPr>
            </w:pPr>
          </w:p>
        </w:tc>
        <w:tc>
          <w:tcPr>
            <w:tcW w:w="794" w:type="dxa"/>
            <w:vMerge w:val="continue"/>
            <w:textDirection w:val="tbRlV"/>
          </w:tcPr>
          <w:p>
            <w:pPr>
              <w:spacing w:line="240" w:lineRule="exact"/>
              <w:ind w:left="113" w:right="113"/>
              <w:jc w:val="center"/>
              <w:rPr>
                <w:rFonts w:ascii="宋体" w:hAnsi="宋体"/>
                <w:kern w:val="0"/>
                <w:sz w:val="19"/>
                <w:szCs w:val="21"/>
              </w:rPr>
            </w:pPr>
          </w:p>
        </w:tc>
        <w:tc>
          <w:tcPr>
            <w:tcW w:w="1371" w:type="dxa"/>
          </w:tcPr>
          <w:p>
            <w:pPr>
              <w:spacing w:line="240" w:lineRule="exact"/>
              <w:jc w:val="center"/>
              <w:rPr>
                <w:rFonts w:ascii="宋体" w:hAnsi="宋体"/>
                <w:kern w:val="0"/>
                <w:sz w:val="19"/>
                <w:szCs w:val="21"/>
              </w:rPr>
            </w:pPr>
            <w:r>
              <w:rPr>
                <w:rFonts w:hint="eastAsia" w:ascii="宋体" w:hAnsi="宋体"/>
                <w:kern w:val="0"/>
                <w:sz w:val="19"/>
                <w:szCs w:val="21"/>
              </w:rPr>
              <w:t>完成成本</w:t>
            </w:r>
          </w:p>
        </w:tc>
        <w:tc>
          <w:tcPr>
            <w:tcW w:w="502" w:type="dxa"/>
          </w:tcPr>
          <w:p>
            <w:pPr>
              <w:spacing w:line="240" w:lineRule="exact"/>
              <w:jc w:val="center"/>
              <w:rPr>
                <w:rFonts w:ascii="宋体" w:hAnsi="宋体"/>
                <w:kern w:val="0"/>
                <w:sz w:val="19"/>
                <w:szCs w:val="21"/>
              </w:rPr>
            </w:pPr>
            <w:r>
              <w:rPr>
                <w:rFonts w:hint="eastAsia" w:ascii="宋体" w:hAnsi="宋体"/>
                <w:kern w:val="0"/>
                <w:sz w:val="19"/>
                <w:szCs w:val="21"/>
              </w:rPr>
              <w:t>5</w:t>
            </w:r>
          </w:p>
        </w:tc>
        <w:tc>
          <w:tcPr>
            <w:tcW w:w="4494" w:type="dxa"/>
          </w:tcPr>
          <w:p>
            <w:pPr>
              <w:spacing w:line="240" w:lineRule="exact"/>
              <w:rPr>
                <w:rFonts w:ascii="宋体" w:hAnsi="宋体"/>
                <w:kern w:val="0"/>
                <w:sz w:val="19"/>
                <w:szCs w:val="21"/>
              </w:rPr>
            </w:pPr>
            <w:r>
              <w:rPr>
                <w:rFonts w:hint="eastAsia" w:ascii="宋体" w:hAnsi="宋体"/>
                <w:kern w:val="0"/>
                <w:sz w:val="19"/>
                <w:szCs w:val="21"/>
              </w:rPr>
              <w:t>（实际完成成本-预计完成成本）/预计完成成本×100%</w:t>
            </w:r>
          </w:p>
        </w:tc>
        <w:tc>
          <w:tcPr>
            <w:tcW w:w="850" w:type="dxa"/>
            <w:shd w:val="clear" w:color="auto" w:fill="auto"/>
          </w:tcPr>
          <w:p>
            <w:pPr>
              <w:spacing w:line="240" w:lineRule="exact"/>
              <w:jc w:val="center"/>
              <w:rPr>
                <w:rFonts w:ascii="宋体" w:hAnsi="宋体"/>
                <w:kern w:val="0"/>
                <w:sz w:val="19"/>
                <w:szCs w:val="21"/>
              </w:rPr>
            </w:pPr>
            <w:r>
              <w:rPr>
                <w:rFonts w:hint="eastAsia" w:ascii="宋体" w:hAnsi="宋体"/>
                <w:kern w:val="0"/>
                <w:sz w:val="19"/>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920" w:type="dxa"/>
            <w:vMerge w:val="continue"/>
            <w:textDirection w:val="tbRlV"/>
          </w:tcPr>
          <w:p>
            <w:pPr>
              <w:spacing w:line="240" w:lineRule="exact"/>
              <w:ind w:left="113" w:right="113"/>
              <w:jc w:val="center"/>
              <w:rPr>
                <w:rFonts w:ascii="宋体" w:hAnsi="宋体"/>
                <w:kern w:val="0"/>
                <w:sz w:val="19"/>
                <w:szCs w:val="21"/>
              </w:rPr>
            </w:pPr>
          </w:p>
        </w:tc>
        <w:tc>
          <w:tcPr>
            <w:tcW w:w="794" w:type="dxa"/>
            <w:vMerge w:val="restart"/>
            <w:textDirection w:val="tbRlV"/>
          </w:tcPr>
          <w:p>
            <w:pPr>
              <w:spacing w:line="240" w:lineRule="exact"/>
              <w:ind w:left="113" w:right="113"/>
              <w:jc w:val="center"/>
              <w:rPr>
                <w:rFonts w:ascii="宋体" w:hAnsi="宋体"/>
                <w:kern w:val="0"/>
                <w:sz w:val="19"/>
                <w:szCs w:val="21"/>
              </w:rPr>
            </w:pPr>
            <w:r>
              <w:rPr>
                <w:rFonts w:hint="eastAsia" w:ascii="宋体" w:hAnsi="宋体"/>
                <w:kern w:val="0"/>
                <w:sz w:val="19"/>
                <w:szCs w:val="21"/>
              </w:rPr>
              <w:t>（50分（</w:t>
            </w:r>
          </w:p>
          <w:p>
            <w:pPr>
              <w:spacing w:line="240" w:lineRule="exact"/>
              <w:ind w:left="113" w:right="113"/>
              <w:jc w:val="center"/>
              <w:rPr>
                <w:rFonts w:ascii="宋体" w:hAnsi="宋体"/>
                <w:kern w:val="0"/>
                <w:sz w:val="19"/>
                <w:szCs w:val="21"/>
              </w:rPr>
            </w:pPr>
            <w:r>
              <w:rPr>
                <w:rFonts w:hint="eastAsia" w:ascii="宋体" w:hAnsi="宋体"/>
                <w:kern w:val="0"/>
                <w:sz w:val="19"/>
                <w:szCs w:val="21"/>
              </w:rPr>
              <w:t>项目效益</w:t>
            </w:r>
          </w:p>
        </w:tc>
        <w:tc>
          <w:tcPr>
            <w:tcW w:w="1371" w:type="dxa"/>
          </w:tcPr>
          <w:p>
            <w:pPr>
              <w:spacing w:line="240" w:lineRule="exact"/>
              <w:jc w:val="center"/>
              <w:rPr>
                <w:rFonts w:ascii="宋体" w:hAnsi="宋体"/>
                <w:kern w:val="0"/>
                <w:sz w:val="19"/>
                <w:szCs w:val="21"/>
              </w:rPr>
            </w:pPr>
            <w:r>
              <w:rPr>
                <w:rFonts w:hint="eastAsia" w:ascii="宋体" w:hAnsi="宋体"/>
                <w:kern w:val="0"/>
                <w:sz w:val="19"/>
                <w:szCs w:val="21"/>
              </w:rPr>
              <w:t>经济效益</w:t>
            </w:r>
          </w:p>
          <w:p>
            <w:pPr>
              <w:spacing w:line="240" w:lineRule="exact"/>
              <w:jc w:val="center"/>
              <w:rPr>
                <w:rFonts w:ascii="宋体" w:hAnsi="宋体"/>
                <w:kern w:val="0"/>
                <w:sz w:val="19"/>
                <w:szCs w:val="21"/>
              </w:rPr>
            </w:pPr>
            <w:r>
              <w:rPr>
                <w:rFonts w:hint="eastAsia" w:ascii="宋体" w:hAnsi="宋体"/>
                <w:kern w:val="0"/>
                <w:sz w:val="19"/>
                <w:szCs w:val="21"/>
              </w:rPr>
              <w:t>（可选项）</w:t>
            </w:r>
          </w:p>
        </w:tc>
        <w:tc>
          <w:tcPr>
            <w:tcW w:w="502" w:type="dxa"/>
            <w:vMerge w:val="restart"/>
          </w:tcPr>
          <w:p>
            <w:pPr>
              <w:spacing w:line="240" w:lineRule="exact"/>
              <w:jc w:val="center"/>
              <w:rPr>
                <w:rFonts w:ascii="宋体" w:hAnsi="宋体"/>
                <w:kern w:val="0"/>
                <w:sz w:val="19"/>
                <w:szCs w:val="21"/>
              </w:rPr>
            </w:pPr>
            <w:r>
              <w:rPr>
                <w:rFonts w:hint="eastAsia" w:ascii="宋体" w:hAnsi="宋体"/>
                <w:kern w:val="0"/>
                <w:sz w:val="19"/>
                <w:szCs w:val="21"/>
              </w:rPr>
              <w:t>40</w:t>
            </w:r>
          </w:p>
        </w:tc>
        <w:tc>
          <w:tcPr>
            <w:tcW w:w="4494" w:type="dxa"/>
          </w:tcPr>
          <w:p>
            <w:pPr>
              <w:spacing w:line="240" w:lineRule="exact"/>
              <w:rPr>
                <w:rFonts w:ascii="宋体" w:hAnsi="宋体"/>
                <w:kern w:val="0"/>
                <w:sz w:val="19"/>
                <w:szCs w:val="21"/>
              </w:rPr>
            </w:pPr>
            <w:r>
              <w:rPr>
                <w:rFonts w:hint="eastAsia" w:ascii="宋体" w:hAnsi="宋体"/>
                <w:kern w:val="0"/>
                <w:sz w:val="19"/>
                <w:szCs w:val="21"/>
              </w:rPr>
              <w:t>适用于经济发展类项目。反映相关产出对经济社会发展带来的影响和效果，根据项目实际细化具体指标。重点考核投入产出率、回报率、增长率等指标</w:t>
            </w:r>
          </w:p>
        </w:tc>
        <w:tc>
          <w:tcPr>
            <w:tcW w:w="850" w:type="dxa"/>
            <w:shd w:val="clear" w:color="auto" w:fill="auto"/>
          </w:tcPr>
          <w:p>
            <w:pPr>
              <w:spacing w:line="240" w:lineRule="exact"/>
              <w:jc w:val="center"/>
              <w:rPr>
                <w:rFonts w:ascii="宋体" w:hAnsi="宋体"/>
                <w:kern w:val="0"/>
                <w:sz w:val="19"/>
                <w:szCs w:val="21"/>
              </w:rPr>
            </w:pPr>
            <w:r>
              <w:rPr>
                <w:rFonts w:hint="eastAsia" w:ascii="宋体" w:hAnsi="宋体"/>
                <w:kern w:val="0"/>
                <w:sz w:val="19"/>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920" w:type="dxa"/>
            <w:vMerge w:val="continue"/>
            <w:textDirection w:val="tbRlV"/>
          </w:tcPr>
          <w:p>
            <w:pPr>
              <w:spacing w:line="240" w:lineRule="exact"/>
              <w:ind w:left="113" w:right="113"/>
              <w:jc w:val="center"/>
              <w:rPr>
                <w:rFonts w:ascii="宋体" w:hAnsi="宋体"/>
                <w:kern w:val="0"/>
                <w:sz w:val="19"/>
                <w:szCs w:val="21"/>
              </w:rPr>
            </w:pPr>
          </w:p>
        </w:tc>
        <w:tc>
          <w:tcPr>
            <w:tcW w:w="794" w:type="dxa"/>
            <w:vMerge w:val="continue"/>
            <w:textDirection w:val="tbRlV"/>
          </w:tcPr>
          <w:p>
            <w:pPr>
              <w:spacing w:line="240" w:lineRule="exact"/>
              <w:ind w:left="113" w:right="113"/>
              <w:jc w:val="center"/>
              <w:rPr>
                <w:rFonts w:ascii="宋体" w:hAnsi="宋体"/>
                <w:kern w:val="0"/>
                <w:sz w:val="19"/>
                <w:szCs w:val="21"/>
              </w:rPr>
            </w:pPr>
          </w:p>
        </w:tc>
        <w:tc>
          <w:tcPr>
            <w:tcW w:w="1371" w:type="dxa"/>
          </w:tcPr>
          <w:p>
            <w:pPr>
              <w:spacing w:line="240" w:lineRule="exact"/>
              <w:jc w:val="center"/>
              <w:rPr>
                <w:rFonts w:ascii="宋体" w:hAnsi="宋体"/>
                <w:kern w:val="0"/>
                <w:sz w:val="19"/>
                <w:szCs w:val="21"/>
              </w:rPr>
            </w:pPr>
            <w:r>
              <w:rPr>
                <w:rFonts w:hint="eastAsia" w:ascii="宋体" w:hAnsi="宋体"/>
                <w:kern w:val="0"/>
                <w:sz w:val="19"/>
                <w:szCs w:val="21"/>
              </w:rPr>
              <w:t>社会效益</w:t>
            </w:r>
          </w:p>
          <w:p>
            <w:pPr>
              <w:spacing w:line="240" w:lineRule="exact"/>
              <w:jc w:val="center"/>
              <w:rPr>
                <w:rFonts w:ascii="宋体" w:hAnsi="宋体"/>
                <w:kern w:val="0"/>
                <w:sz w:val="19"/>
                <w:szCs w:val="21"/>
              </w:rPr>
            </w:pPr>
            <w:r>
              <w:rPr>
                <w:rFonts w:hint="eastAsia" w:ascii="宋体" w:hAnsi="宋体"/>
                <w:kern w:val="0"/>
                <w:sz w:val="19"/>
                <w:szCs w:val="21"/>
              </w:rPr>
              <w:t>（可选项）</w:t>
            </w:r>
          </w:p>
        </w:tc>
        <w:tc>
          <w:tcPr>
            <w:tcW w:w="502" w:type="dxa"/>
            <w:vMerge w:val="continue"/>
          </w:tcPr>
          <w:p>
            <w:pPr>
              <w:spacing w:line="240" w:lineRule="exact"/>
              <w:jc w:val="center"/>
              <w:rPr>
                <w:rFonts w:ascii="宋体" w:hAnsi="宋体"/>
                <w:kern w:val="0"/>
                <w:sz w:val="19"/>
                <w:szCs w:val="21"/>
              </w:rPr>
            </w:pPr>
          </w:p>
        </w:tc>
        <w:tc>
          <w:tcPr>
            <w:tcW w:w="4494" w:type="dxa"/>
          </w:tcPr>
          <w:p>
            <w:pPr>
              <w:spacing w:line="240" w:lineRule="exact"/>
              <w:rPr>
                <w:rFonts w:ascii="宋体" w:hAnsi="宋体"/>
                <w:kern w:val="0"/>
                <w:sz w:val="19"/>
                <w:szCs w:val="21"/>
              </w:rPr>
            </w:pPr>
            <w:r>
              <w:rPr>
                <w:rFonts w:hint="eastAsia" w:ascii="宋体" w:hAnsi="宋体"/>
                <w:kern w:val="0"/>
                <w:sz w:val="19"/>
                <w:szCs w:val="21"/>
              </w:rPr>
              <w:t>反映相关产出对社会发展带来的影响和效果，根据项目实际细化具体指标。重点考核</w:t>
            </w:r>
          </w:p>
          <w:p>
            <w:pPr>
              <w:spacing w:line="240" w:lineRule="exact"/>
              <w:rPr>
                <w:rFonts w:ascii="宋体" w:hAnsi="宋体"/>
                <w:kern w:val="0"/>
                <w:sz w:val="19"/>
                <w:szCs w:val="21"/>
              </w:rPr>
            </w:pPr>
            <w:r>
              <w:rPr>
                <w:rFonts w:hint="eastAsia" w:ascii="宋体" w:hAnsi="宋体"/>
                <w:kern w:val="0"/>
                <w:sz w:val="19"/>
                <w:szCs w:val="21"/>
              </w:rPr>
              <w:t>撬动率、贡献率、达标率、就业率等指标</w:t>
            </w:r>
          </w:p>
        </w:tc>
        <w:tc>
          <w:tcPr>
            <w:tcW w:w="850" w:type="dxa"/>
            <w:shd w:val="clear" w:color="auto" w:fill="auto"/>
          </w:tcPr>
          <w:p>
            <w:pPr>
              <w:spacing w:line="240" w:lineRule="exact"/>
              <w:jc w:val="center"/>
              <w:rPr>
                <w:rFonts w:ascii="宋体" w:hAnsi="宋体"/>
                <w:kern w:val="0"/>
                <w:sz w:val="19"/>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920" w:type="dxa"/>
            <w:vMerge w:val="continue"/>
            <w:textDirection w:val="tbRlV"/>
          </w:tcPr>
          <w:p>
            <w:pPr>
              <w:spacing w:line="240" w:lineRule="exact"/>
              <w:ind w:left="113" w:right="113"/>
              <w:jc w:val="center"/>
              <w:rPr>
                <w:rFonts w:ascii="宋体" w:hAnsi="宋体"/>
                <w:kern w:val="0"/>
                <w:sz w:val="19"/>
                <w:szCs w:val="21"/>
              </w:rPr>
            </w:pPr>
          </w:p>
        </w:tc>
        <w:tc>
          <w:tcPr>
            <w:tcW w:w="794" w:type="dxa"/>
            <w:vMerge w:val="continue"/>
            <w:textDirection w:val="tbRlV"/>
          </w:tcPr>
          <w:p>
            <w:pPr>
              <w:spacing w:line="240" w:lineRule="exact"/>
              <w:ind w:left="113" w:right="113"/>
              <w:jc w:val="center"/>
              <w:rPr>
                <w:rFonts w:ascii="宋体" w:hAnsi="宋体"/>
                <w:kern w:val="0"/>
                <w:sz w:val="19"/>
                <w:szCs w:val="21"/>
              </w:rPr>
            </w:pPr>
          </w:p>
        </w:tc>
        <w:tc>
          <w:tcPr>
            <w:tcW w:w="1371" w:type="dxa"/>
          </w:tcPr>
          <w:p>
            <w:pPr>
              <w:spacing w:line="240" w:lineRule="exact"/>
              <w:jc w:val="center"/>
              <w:rPr>
                <w:rFonts w:ascii="宋体" w:hAnsi="宋体"/>
                <w:kern w:val="0"/>
                <w:sz w:val="19"/>
                <w:szCs w:val="21"/>
              </w:rPr>
            </w:pPr>
            <w:r>
              <w:rPr>
                <w:rFonts w:hint="eastAsia" w:ascii="宋体" w:hAnsi="宋体"/>
                <w:kern w:val="0"/>
                <w:sz w:val="19"/>
                <w:szCs w:val="21"/>
              </w:rPr>
              <w:t>生态效益</w:t>
            </w:r>
          </w:p>
          <w:p>
            <w:pPr>
              <w:spacing w:line="240" w:lineRule="exact"/>
              <w:jc w:val="center"/>
              <w:rPr>
                <w:rFonts w:ascii="宋体" w:hAnsi="宋体"/>
                <w:kern w:val="0"/>
                <w:sz w:val="19"/>
                <w:szCs w:val="21"/>
              </w:rPr>
            </w:pPr>
            <w:r>
              <w:rPr>
                <w:rFonts w:hint="eastAsia" w:ascii="宋体" w:hAnsi="宋体"/>
                <w:kern w:val="0"/>
                <w:sz w:val="19"/>
                <w:szCs w:val="21"/>
              </w:rPr>
              <w:t>（可选项）</w:t>
            </w:r>
          </w:p>
        </w:tc>
        <w:tc>
          <w:tcPr>
            <w:tcW w:w="502" w:type="dxa"/>
            <w:vMerge w:val="continue"/>
          </w:tcPr>
          <w:p>
            <w:pPr>
              <w:spacing w:line="240" w:lineRule="exact"/>
              <w:jc w:val="center"/>
              <w:rPr>
                <w:rFonts w:ascii="宋体" w:hAnsi="宋体"/>
                <w:kern w:val="0"/>
                <w:sz w:val="19"/>
                <w:szCs w:val="21"/>
              </w:rPr>
            </w:pPr>
          </w:p>
        </w:tc>
        <w:tc>
          <w:tcPr>
            <w:tcW w:w="4494" w:type="dxa"/>
          </w:tcPr>
          <w:p>
            <w:pPr>
              <w:spacing w:line="240" w:lineRule="exact"/>
              <w:rPr>
                <w:rFonts w:ascii="宋体" w:hAnsi="宋体"/>
                <w:kern w:val="0"/>
                <w:sz w:val="19"/>
                <w:szCs w:val="21"/>
              </w:rPr>
            </w:pPr>
            <w:r>
              <w:rPr>
                <w:rFonts w:hint="eastAsia" w:ascii="宋体" w:hAnsi="宋体"/>
                <w:kern w:val="0"/>
                <w:sz w:val="19"/>
                <w:szCs w:val="21"/>
              </w:rPr>
              <w:t>反映相关产出对自然环境带来的影响和效果，根据项目实际细化具体指标</w:t>
            </w:r>
          </w:p>
        </w:tc>
        <w:tc>
          <w:tcPr>
            <w:tcW w:w="850" w:type="dxa"/>
            <w:shd w:val="clear" w:color="auto" w:fill="auto"/>
          </w:tcPr>
          <w:p>
            <w:pPr>
              <w:spacing w:line="240" w:lineRule="exact"/>
              <w:jc w:val="center"/>
              <w:rPr>
                <w:rFonts w:ascii="宋体" w:hAnsi="宋体"/>
                <w:kern w:val="0"/>
                <w:sz w:val="19"/>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920" w:type="dxa"/>
            <w:vMerge w:val="continue"/>
            <w:textDirection w:val="tbRlV"/>
          </w:tcPr>
          <w:p>
            <w:pPr>
              <w:spacing w:line="240" w:lineRule="exact"/>
              <w:ind w:left="113" w:right="113"/>
              <w:jc w:val="center"/>
              <w:rPr>
                <w:rFonts w:ascii="宋体" w:hAnsi="宋体"/>
                <w:kern w:val="0"/>
                <w:sz w:val="19"/>
                <w:szCs w:val="21"/>
              </w:rPr>
            </w:pPr>
          </w:p>
        </w:tc>
        <w:tc>
          <w:tcPr>
            <w:tcW w:w="794" w:type="dxa"/>
            <w:vMerge w:val="continue"/>
            <w:textDirection w:val="tbRlV"/>
          </w:tcPr>
          <w:p>
            <w:pPr>
              <w:spacing w:line="240" w:lineRule="exact"/>
              <w:ind w:left="113" w:right="113"/>
              <w:jc w:val="center"/>
              <w:rPr>
                <w:rFonts w:ascii="宋体" w:hAnsi="宋体"/>
                <w:kern w:val="0"/>
                <w:sz w:val="19"/>
                <w:szCs w:val="21"/>
              </w:rPr>
            </w:pPr>
          </w:p>
        </w:tc>
        <w:tc>
          <w:tcPr>
            <w:tcW w:w="1371" w:type="dxa"/>
          </w:tcPr>
          <w:p>
            <w:pPr>
              <w:spacing w:line="240" w:lineRule="exact"/>
              <w:jc w:val="center"/>
              <w:rPr>
                <w:rFonts w:ascii="宋体" w:hAnsi="宋体"/>
                <w:kern w:val="0"/>
                <w:sz w:val="19"/>
                <w:szCs w:val="21"/>
              </w:rPr>
            </w:pPr>
            <w:r>
              <w:rPr>
                <w:rFonts w:hint="eastAsia" w:ascii="宋体" w:hAnsi="宋体"/>
                <w:kern w:val="0"/>
                <w:sz w:val="19"/>
                <w:szCs w:val="21"/>
              </w:rPr>
              <w:t>可持续效益（可选项）</w:t>
            </w:r>
          </w:p>
        </w:tc>
        <w:tc>
          <w:tcPr>
            <w:tcW w:w="502" w:type="dxa"/>
            <w:vMerge w:val="continue"/>
          </w:tcPr>
          <w:p>
            <w:pPr>
              <w:spacing w:line="240" w:lineRule="exact"/>
              <w:jc w:val="center"/>
              <w:rPr>
                <w:rFonts w:ascii="宋体" w:hAnsi="宋体"/>
                <w:kern w:val="0"/>
                <w:sz w:val="19"/>
                <w:szCs w:val="21"/>
              </w:rPr>
            </w:pPr>
          </w:p>
        </w:tc>
        <w:tc>
          <w:tcPr>
            <w:tcW w:w="4494" w:type="dxa"/>
          </w:tcPr>
          <w:p>
            <w:pPr>
              <w:spacing w:line="240" w:lineRule="exact"/>
              <w:rPr>
                <w:rFonts w:ascii="宋体" w:hAnsi="宋体"/>
                <w:kern w:val="0"/>
                <w:sz w:val="19"/>
                <w:szCs w:val="21"/>
              </w:rPr>
            </w:pPr>
            <w:r>
              <w:rPr>
                <w:rFonts w:hint="eastAsia" w:ascii="宋体" w:hAnsi="宋体"/>
                <w:kern w:val="0"/>
                <w:sz w:val="19"/>
                <w:szCs w:val="21"/>
              </w:rPr>
              <w:t>反映相关产出带来影响的可持续期限，根据项目实际细化具体指标</w:t>
            </w:r>
          </w:p>
        </w:tc>
        <w:tc>
          <w:tcPr>
            <w:tcW w:w="850" w:type="dxa"/>
            <w:shd w:val="clear" w:color="auto" w:fill="auto"/>
          </w:tcPr>
          <w:p>
            <w:pPr>
              <w:spacing w:line="240" w:lineRule="exact"/>
              <w:jc w:val="center"/>
              <w:rPr>
                <w:rFonts w:ascii="宋体" w:hAnsi="宋体"/>
                <w:kern w:val="0"/>
                <w:sz w:val="19"/>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920" w:type="dxa"/>
            <w:vMerge w:val="continue"/>
            <w:textDirection w:val="tbRlV"/>
          </w:tcPr>
          <w:p>
            <w:pPr>
              <w:spacing w:line="240" w:lineRule="exact"/>
              <w:ind w:left="113" w:right="113"/>
              <w:jc w:val="center"/>
              <w:rPr>
                <w:rFonts w:ascii="宋体" w:hAnsi="宋体"/>
                <w:kern w:val="0"/>
                <w:sz w:val="19"/>
                <w:szCs w:val="21"/>
              </w:rPr>
            </w:pPr>
          </w:p>
        </w:tc>
        <w:tc>
          <w:tcPr>
            <w:tcW w:w="794" w:type="dxa"/>
            <w:vMerge w:val="continue"/>
            <w:textDirection w:val="tbRlV"/>
          </w:tcPr>
          <w:p>
            <w:pPr>
              <w:spacing w:line="240" w:lineRule="exact"/>
              <w:ind w:left="113" w:right="113"/>
              <w:jc w:val="center"/>
              <w:rPr>
                <w:rFonts w:ascii="宋体" w:hAnsi="宋体"/>
                <w:kern w:val="0"/>
                <w:sz w:val="19"/>
                <w:szCs w:val="21"/>
              </w:rPr>
            </w:pPr>
          </w:p>
        </w:tc>
        <w:tc>
          <w:tcPr>
            <w:tcW w:w="1371" w:type="dxa"/>
          </w:tcPr>
          <w:p>
            <w:pPr>
              <w:spacing w:line="240" w:lineRule="exact"/>
              <w:jc w:val="center"/>
              <w:rPr>
                <w:rFonts w:ascii="宋体" w:hAnsi="宋体"/>
                <w:kern w:val="0"/>
                <w:sz w:val="19"/>
                <w:szCs w:val="21"/>
              </w:rPr>
            </w:pPr>
            <w:r>
              <w:rPr>
                <w:rFonts w:hint="eastAsia" w:ascii="宋体" w:hAnsi="宋体"/>
                <w:kern w:val="0"/>
                <w:sz w:val="19"/>
                <w:szCs w:val="21"/>
              </w:rPr>
              <w:t>公平效率</w:t>
            </w:r>
          </w:p>
          <w:p>
            <w:pPr>
              <w:spacing w:line="240" w:lineRule="exact"/>
              <w:jc w:val="center"/>
              <w:rPr>
                <w:rFonts w:ascii="宋体" w:hAnsi="宋体"/>
                <w:kern w:val="0"/>
                <w:sz w:val="19"/>
                <w:szCs w:val="21"/>
              </w:rPr>
            </w:pPr>
            <w:r>
              <w:rPr>
                <w:rFonts w:hint="eastAsia" w:ascii="宋体" w:hAnsi="宋体"/>
                <w:kern w:val="0"/>
                <w:sz w:val="19"/>
                <w:szCs w:val="21"/>
              </w:rPr>
              <w:t>（可选项）</w:t>
            </w:r>
          </w:p>
        </w:tc>
        <w:tc>
          <w:tcPr>
            <w:tcW w:w="502" w:type="dxa"/>
            <w:vMerge w:val="continue"/>
          </w:tcPr>
          <w:p>
            <w:pPr>
              <w:spacing w:line="240" w:lineRule="exact"/>
              <w:jc w:val="center"/>
              <w:rPr>
                <w:rFonts w:ascii="宋体" w:hAnsi="宋体"/>
                <w:kern w:val="0"/>
                <w:sz w:val="19"/>
                <w:szCs w:val="21"/>
              </w:rPr>
            </w:pPr>
          </w:p>
        </w:tc>
        <w:tc>
          <w:tcPr>
            <w:tcW w:w="4494" w:type="dxa"/>
          </w:tcPr>
          <w:p>
            <w:pPr>
              <w:spacing w:line="240" w:lineRule="exact"/>
              <w:rPr>
                <w:rFonts w:ascii="宋体" w:hAnsi="宋体"/>
                <w:kern w:val="0"/>
                <w:sz w:val="19"/>
                <w:szCs w:val="21"/>
              </w:rPr>
            </w:pPr>
            <w:r>
              <w:rPr>
                <w:rFonts w:hint="eastAsia" w:ascii="宋体" w:hAnsi="宋体"/>
                <w:kern w:val="0"/>
                <w:sz w:val="19"/>
                <w:szCs w:val="21"/>
              </w:rPr>
              <w:t>主要反映资金使用者是否获得公平竞争的机会，以及民生类项目中受益群体是否应覆盖全覆盖，覆盖率是衡量指标。重点考核覆盖率、知晓率等指标</w:t>
            </w:r>
          </w:p>
        </w:tc>
        <w:tc>
          <w:tcPr>
            <w:tcW w:w="850" w:type="dxa"/>
            <w:shd w:val="clear" w:color="auto" w:fill="auto"/>
          </w:tcPr>
          <w:p>
            <w:pPr>
              <w:spacing w:line="240" w:lineRule="exact"/>
              <w:jc w:val="center"/>
              <w:rPr>
                <w:rFonts w:ascii="宋体" w:hAnsi="宋体"/>
                <w:kern w:val="0"/>
                <w:sz w:val="19"/>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920" w:type="dxa"/>
            <w:vMerge w:val="continue"/>
            <w:textDirection w:val="tbRlV"/>
          </w:tcPr>
          <w:p>
            <w:pPr>
              <w:spacing w:line="240" w:lineRule="exact"/>
              <w:ind w:left="113" w:right="113"/>
              <w:jc w:val="center"/>
              <w:rPr>
                <w:rFonts w:ascii="宋体" w:hAnsi="宋体"/>
                <w:kern w:val="0"/>
                <w:sz w:val="19"/>
                <w:szCs w:val="21"/>
              </w:rPr>
            </w:pPr>
          </w:p>
        </w:tc>
        <w:tc>
          <w:tcPr>
            <w:tcW w:w="794" w:type="dxa"/>
            <w:vMerge w:val="continue"/>
            <w:textDirection w:val="tbRlV"/>
          </w:tcPr>
          <w:p>
            <w:pPr>
              <w:spacing w:line="240" w:lineRule="exact"/>
              <w:ind w:left="113" w:right="113"/>
              <w:jc w:val="center"/>
              <w:rPr>
                <w:rFonts w:ascii="宋体" w:hAnsi="宋体"/>
                <w:kern w:val="0"/>
                <w:sz w:val="19"/>
                <w:szCs w:val="21"/>
              </w:rPr>
            </w:pPr>
          </w:p>
        </w:tc>
        <w:tc>
          <w:tcPr>
            <w:tcW w:w="1371" w:type="dxa"/>
          </w:tcPr>
          <w:p>
            <w:pPr>
              <w:spacing w:line="240" w:lineRule="exact"/>
              <w:jc w:val="center"/>
              <w:rPr>
                <w:rFonts w:ascii="宋体" w:hAnsi="宋体"/>
                <w:kern w:val="0"/>
                <w:sz w:val="19"/>
                <w:szCs w:val="21"/>
              </w:rPr>
            </w:pPr>
            <w:r>
              <w:rPr>
                <w:rFonts w:hint="eastAsia" w:ascii="宋体" w:hAnsi="宋体"/>
                <w:kern w:val="0"/>
                <w:sz w:val="19"/>
                <w:szCs w:val="21"/>
              </w:rPr>
              <w:t>使用效率</w:t>
            </w:r>
          </w:p>
          <w:p>
            <w:pPr>
              <w:spacing w:line="240" w:lineRule="exact"/>
              <w:jc w:val="center"/>
              <w:rPr>
                <w:rFonts w:ascii="宋体" w:hAnsi="宋体"/>
                <w:kern w:val="0"/>
                <w:sz w:val="19"/>
                <w:szCs w:val="21"/>
              </w:rPr>
            </w:pPr>
            <w:r>
              <w:rPr>
                <w:rFonts w:hint="eastAsia" w:ascii="宋体" w:hAnsi="宋体"/>
                <w:kern w:val="0"/>
                <w:sz w:val="19"/>
                <w:szCs w:val="21"/>
              </w:rPr>
              <w:t>（可选项）</w:t>
            </w:r>
          </w:p>
        </w:tc>
        <w:tc>
          <w:tcPr>
            <w:tcW w:w="502" w:type="dxa"/>
            <w:vMerge w:val="continue"/>
          </w:tcPr>
          <w:p>
            <w:pPr>
              <w:spacing w:line="240" w:lineRule="exact"/>
              <w:jc w:val="center"/>
              <w:rPr>
                <w:rFonts w:ascii="宋体" w:hAnsi="宋体"/>
                <w:kern w:val="0"/>
                <w:sz w:val="19"/>
                <w:szCs w:val="21"/>
              </w:rPr>
            </w:pPr>
          </w:p>
        </w:tc>
        <w:tc>
          <w:tcPr>
            <w:tcW w:w="4494" w:type="dxa"/>
          </w:tcPr>
          <w:p>
            <w:pPr>
              <w:spacing w:line="240" w:lineRule="exact"/>
              <w:rPr>
                <w:rFonts w:ascii="宋体" w:hAnsi="宋体"/>
                <w:kern w:val="0"/>
                <w:sz w:val="19"/>
                <w:szCs w:val="21"/>
              </w:rPr>
            </w:pPr>
            <w:r>
              <w:rPr>
                <w:rFonts w:hint="eastAsia" w:ascii="宋体" w:hAnsi="宋体"/>
                <w:kern w:val="0"/>
                <w:sz w:val="19"/>
                <w:szCs w:val="21"/>
              </w:rPr>
              <w:t>重点考核使用率等指标</w:t>
            </w:r>
          </w:p>
        </w:tc>
        <w:tc>
          <w:tcPr>
            <w:tcW w:w="850" w:type="dxa"/>
            <w:shd w:val="clear" w:color="auto" w:fill="auto"/>
          </w:tcPr>
          <w:p>
            <w:pPr>
              <w:spacing w:line="240" w:lineRule="exact"/>
              <w:jc w:val="center"/>
              <w:rPr>
                <w:rFonts w:ascii="宋体" w:hAnsi="宋体"/>
                <w:kern w:val="0"/>
                <w:sz w:val="19"/>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920" w:type="dxa"/>
            <w:vMerge w:val="continue"/>
            <w:textDirection w:val="tbRlV"/>
          </w:tcPr>
          <w:p>
            <w:pPr>
              <w:spacing w:line="240" w:lineRule="exact"/>
              <w:ind w:left="113" w:right="113"/>
              <w:jc w:val="center"/>
              <w:rPr>
                <w:rFonts w:ascii="宋体" w:hAnsi="宋体"/>
                <w:kern w:val="0"/>
                <w:sz w:val="19"/>
                <w:szCs w:val="21"/>
              </w:rPr>
            </w:pPr>
          </w:p>
        </w:tc>
        <w:tc>
          <w:tcPr>
            <w:tcW w:w="794" w:type="dxa"/>
            <w:vMerge w:val="continue"/>
            <w:textDirection w:val="tbRlV"/>
          </w:tcPr>
          <w:p>
            <w:pPr>
              <w:spacing w:line="240" w:lineRule="exact"/>
              <w:ind w:left="113" w:right="113"/>
              <w:jc w:val="center"/>
              <w:rPr>
                <w:rFonts w:ascii="宋体" w:hAnsi="宋体"/>
                <w:kern w:val="0"/>
                <w:sz w:val="19"/>
                <w:szCs w:val="21"/>
              </w:rPr>
            </w:pPr>
          </w:p>
        </w:tc>
        <w:tc>
          <w:tcPr>
            <w:tcW w:w="1371" w:type="dxa"/>
          </w:tcPr>
          <w:p>
            <w:pPr>
              <w:spacing w:line="240" w:lineRule="exact"/>
              <w:ind w:left="-63" w:right="-92"/>
              <w:jc w:val="center"/>
              <w:rPr>
                <w:rFonts w:ascii="宋体" w:hAnsi="宋体"/>
                <w:kern w:val="0"/>
                <w:sz w:val="19"/>
                <w:szCs w:val="21"/>
              </w:rPr>
            </w:pPr>
            <w:r>
              <w:rPr>
                <w:rFonts w:hint="eastAsia" w:ascii="宋体" w:hAnsi="宋体"/>
                <w:kern w:val="0"/>
                <w:sz w:val="19"/>
                <w:szCs w:val="21"/>
              </w:rPr>
              <w:t>服务对象满意度</w:t>
            </w:r>
          </w:p>
        </w:tc>
        <w:tc>
          <w:tcPr>
            <w:tcW w:w="502" w:type="dxa"/>
          </w:tcPr>
          <w:p>
            <w:pPr>
              <w:spacing w:line="240" w:lineRule="exact"/>
              <w:jc w:val="center"/>
              <w:rPr>
                <w:rFonts w:ascii="宋体" w:hAnsi="宋体"/>
                <w:kern w:val="0"/>
                <w:sz w:val="19"/>
                <w:szCs w:val="21"/>
              </w:rPr>
            </w:pPr>
            <w:r>
              <w:rPr>
                <w:rFonts w:hint="eastAsia" w:ascii="宋体" w:hAnsi="宋体"/>
                <w:kern w:val="0"/>
                <w:sz w:val="19"/>
                <w:szCs w:val="21"/>
              </w:rPr>
              <w:t>10</w:t>
            </w:r>
          </w:p>
        </w:tc>
        <w:tc>
          <w:tcPr>
            <w:tcW w:w="4494" w:type="dxa"/>
          </w:tcPr>
          <w:p>
            <w:pPr>
              <w:spacing w:line="240" w:lineRule="exact"/>
              <w:rPr>
                <w:rFonts w:ascii="宋体" w:hAnsi="宋体"/>
                <w:kern w:val="0"/>
                <w:sz w:val="19"/>
                <w:szCs w:val="21"/>
              </w:rPr>
            </w:pPr>
            <w:r>
              <w:rPr>
                <w:rFonts w:hint="eastAsia" w:ascii="宋体" w:hAnsi="宋体"/>
                <w:kern w:val="0"/>
                <w:sz w:val="19"/>
                <w:szCs w:val="21"/>
              </w:rPr>
              <w:t>适用于民生类项目。满意率反映服务对象或项目受益人对相关产出及其影响的认可程度，根据项目实际细化具体指标。重点考核满意率等指标</w:t>
            </w:r>
          </w:p>
        </w:tc>
        <w:tc>
          <w:tcPr>
            <w:tcW w:w="850" w:type="dxa"/>
            <w:shd w:val="clear" w:color="auto" w:fill="auto"/>
          </w:tcPr>
          <w:p>
            <w:pPr>
              <w:spacing w:line="240" w:lineRule="exact"/>
              <w:jc w:val="center"/>
              <w:rPr>
                <w:rFonts w:ascii="宋体" w:hAnsi="宋体"/>
                <w:kern w:val="0"/>
                <w:sz w:val="19"/>
                <w:szCs w:val="21"/>
              </w:rPr>
            </w:pPr>
            <w:r>
              <w:rPr>
                <w:rFonts w:hint="eastAsia" w:ascii="宋体" w:hAnsi="宋体"/>
                <w:kern w:val="0"/>
                <w:sz w:val="19"/>
                <w:szCs w:val="21"/>
              </w:rPr>
              <w:t>10</w:t>
            </w:r>
          </w:p>
        </w:tc>
      </w:tr>
    </w:tbl>
    <w:p>
      <w:pPr>
        <w:spacing w:line="620" w:lineRule="exact"/>
        <w:rPr>
          <w:rFonts w:ascii="黑体" w:hAnsi="黑体" w:eastAsia="黑体"/>
        </w:rPr>
        <w:sectPr>
          <w:footerReference r:id="rId3" w:type="default"/>
          <w:footerReference r:id="rId4" w:type="even"/>
          <w:pgSz w:w="11906" w:h="16838"/>
          <w:pgMar w:top="2098" w:right="1474" w:bottom="1985" w:left="1588" w:header="851" w:footer="1701" w:gutter="0"/>
          <w:pgNumType w:fmt="numberInDash"/>
          <w:cols w:space="720" w:num="1"/>
          <w:docGrid w:type="linesAndChars" w:linePitch="579" w:charSpace="-849"/>
        </w:sectPr>
      </w:pPr>
    </w:p>
    <w:p>
      <w:pPr>
        <w:rPr>
          <w:rFonts w:ascii="仿宋" w:hAnsi="仿宋" w:eastAsia="仿宋" w:cs="仿宋_GB2312"/>
          <w:sz w:val="32"/>
          <w:szCs w:val="32"/>
        </w:rPr>
      </w:pPr>
    </w:p>
    <w:p>
      <w:pPr>
        <w:ind w:firstLine="640" w:firstLineChars="200"/>
        <w:rPr>
          <w:rFonts w:ascii="仿宋" w:hAnsi="仿宋" w:eastAsia="仿宋" w:cs="仿宋_GB2312"/>
          <w:sz w:val="32"/>
          <w:szCs w:val="32"/>
        </w:rPr>
      </w:pPr>
      <w:r>
        <w:rPr>
          <w:rFonts w:hint="eastAsia" w:ascii="仿宋" w:hAnsi="仿宋" w:eastAsia="仿宋" w:cs="仿宋_GB2312"/>
          <w:sz w:val="32"/>
          <w:szCs w:val="32"/>
        </w:rPr>
        <w:t>（二）绩效分析</w:t>
      </w:r>
    </w:p>
    <w:p>
      <w:pPr>
        <w:ind w:firstLine="640" w:firstLineChars="200"/>
        <w:rPr>
          <w:rFonts w:ascii="仿宋" w:hAnsi="仿宋" w:eastAsia="仿宋" w:cs="仿宋_GB2312"/>
          <w:sz w:val="32"/>
          <w:szCs w:val="32"/>
        </w:rPr>
      </w:pPr>
      <w:r>
        <w:rPr>
          <w:rFonts w:ascii="仿宋" w:hAnsi="仿宋" w:eastAsia="仿宋" w:cs="仿宋_GB2312"/>
          <w:sz w:val="32"/>
          <w:szCs w:val="32"/>
        </w:rPr>
        <w:t>1</w:t>
      </w:r>
      <w:r>
        <w:rPr>
          <w:rFonts w:hint="eastAsia" w:ascii="仿宋" w:hAnsi="仿宋" w:eastAsia="仿宋" w:cs="仿宋_GB2312"/>
          <w:sz w:val="32"/>
          <w:szCs w:val="32"/>
        </w:rPr>
        <w:t>、项目决策</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《以案说法》电视栏目栏目于2011开播，2012年3月由遂宁市法制建设领导小组、市委宣传部、市委政法委主办，市司法局联合市文广局及节目制作参与单位，共同承办的普法专题电视节目。</w:t>
      </w:r>
    </w:p>
    <w:p>
      <w:pPr>
        <w:ind w:firstLine="640" w:firstLineChars="200"/>
        <w:rPr>
          <w:rFonts w:ascii="仿宋" w:hAnsi="仿宋" w:eastAsia="仿宋" w:cs="仿宋_GB2312"/>
          <w:sz w:val="32"/>
          <w:szCs w:val="32"/>
        </w:rPr>
      </w:pPr>
      <w:r>
        <w:rPr>
          <w:rFonts w:ascii="仿宋" w:hAnsi="仿宋" w:eastAsia="仿宋" w:cs="仿宋_GB2312"/>
          <w:sz w:val="32"/>
          <w:szCs w:val="32"/>
        </w:rPr>
        <w:t>2</w:t>
      </w:r>
      <w:r>
        <w:rPr>
          <w:rFonts w:hint="eastAsia" w:ascii="仿宋" w:hAnsi="仿宋" w:eastAsia="仿宋" w:cs="仿宋_GB2312"/>
          <w:sz w:val="32"/>
          <w:szCs w:val="32"/>
        </w:rPr>
        <w:t>、项目管理</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项目资金由市司法局对其运行情况进行考核给付。电视台《以案说法》栏目组每年完成节目52期，节目每周二在遂宁电视台公共频道首播，在其他时段新闻频道、公共频道重播5次，每期节目上传至直播遂宁APP，法治遂宁网站等多个媒体进行播出。《以案说法》栏目项目资金由市司法局每年分二期拨付给市广播电视台，每年6月30、11月30日前对节目制作完成情况进行考核，6月30日前完成26期，11月30日前完成全年任务52期，制作完成节目均在以上媒体进行播出。市司法局根据考核情况按时给付，上半年下半年分别给付预算资金的一半。</w:t>
      </w:r>
    </w:p>
    <w:p>
      <w:pPr>
        <w:ind w:firstLine="640" w:firstLineChars="200"/>
        <w:rPr>
          <w:rFonts w:ascii="仿宋" w:hAnsi="仿宋" w:eastAsia="仿宋" w:cs="仿宋_GB2312"/>
          <w:sz w:val="32"/>
          <w:szCs w:val="32"/>
        </w:rPr>
      </w:pPr>
      <w:r>
        <w:rPr>
          <w:rFonts w:ascii="仿宋" w:hAnsi="仿宋" w:eastAsia="仿宋" w:cs="仿宋_GB2312"/>
          <w:sz w:val="32"/>
          <w:szCs w:val="32"/>
        </w:rPr>
        <w:t>3</w:t>
      </w:r>
      <w:r>
        <w:rPr>
          <w:rFonts w:hint="eastAsia" w:ascii="仿宋" w:hAnsi="仿宋" w:eastAsia="仿宋" w:cs="仿宋_GB2312"/>
          <w:sz w:val="32"/>
          <w:szCs w:val="32"/>
        </w:rPr>
        <w:t>、项目绩效</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以案说法》电视栏目开播7年以来，已成为市电视台精品栏目，节目主要以我市老百姓身边的、典型鲜活的法治案例为载体，通过案件回放、当事人访谈、司法和行政执法单位解读、法律专家点评、主持人总结等形式，向广大干部群众宣传法治理念，普及法律知识。整个节目的定位是关注百姓身边发生的法律事件，报道百姓所关心关注的法律问题，努力为广大干部群众学法、知法、守法提供引导与服务。《以案说法》栏目紧紧围绕市委中心工作，服务于经济社会发展，不断推动法治宣传教育工作创新发展，为推进依法治市、建设法治遂宁、营造良好法治环境做出了积极的贡献。</w:t>
      </w:r>
    </w:p>
    <w:p>
      <w:pPr>
        <w:ind w:firstLine="640" w:firstLineChars="200"/>
        <w:rPr>
          <w:rFonts w:ascii="仿宋" w:hAnsi="仿宋" w:eastAsia="仿宋" w:cs="仿宋_GB2312"/>
          <w:sz w:val="32"/>
          <w:szCs w:val="32"/>
        </w:rPr>
      </w:pPr>
    </w:p>
    <w:p>
      <w:pPr>
        <w:ind w:firstLine="640" w:firstLineChars="200"/>
        <w:rPr>
          <w:rFonts w:ascii="仿宋" w:hAnsi="仿宋" w:eastAsia="仿宋" w:cs="仿宋_GB2312"/>
          <w:sz w:val="32"/>
          <w:szCs w:val="32"/>
        </w:rPr>
      </w:pPr>
    </w:p>
    <w:p>
      <w:pPr>
        <w:ind w:firstLine="640" w:firstLineChars="200"/>
        <w:rPr>
          <w:rFonts w:ascii="仿宋" w:hAnsi="仿宋" w:eastAsia="仿宋" w:cs="仿宋_GB2312"/>
          <w:sz w:val="32"/>
          <w:szCs w:val="32"/>
        </w:rPr>
      </w:pPr>
    </w:p>
    <w:p>
      <w:pPr>
        <w:ind w:firstLine="640" w:firstLineChars="200"/>
        <w:rPr>
          <w:rFonts w:ascii="仿宋" w:hAnsi="仿宋" w:eastAsia="仿宋" w:cs="仿宋_GB2312"/>
          <w:sz w:val="32"/>
          <w:szCs w:val="32"/>
        </w:rPr>
      </w:pPr>
    </w:p>
    <w:p>
      <w:pPr>
        <w:ind w:firstLine="640" w:firstLineChars="200"/>
        <w:rPr>
          <w:rFonts w:ascii="仿宋" w:hAnsi="仿宋" w:eastAsia="仿宋" w:cs="仿宋_GB2312"/>
          <w:sz w:val="32"/>
          <w:szCs w:val="32"/>
        </w:rPr>
      </w:pPr>
    </w:p>
    <w:p>
      <w:pPr>
        <w:ind w:firstLine="640" w:firstLineChars="200"/>
        <w:rPr>
          <w:rFonts w:ascii="仿宋" w:hAnsi="仿宋" w:eastAsia="仿宋" w:cs="仿宋_GB2312"/>
          <w:sz w:val="32"/>
          <w:szCs w:val="32"/>
        </w:rPr>
      </w:pPr>
    </w:p>
    <w:p>
      <w:pPr>
        <w:ind w:firstLine="640" w:firstLineChars="200"/>
        <w:rPr>
          <w:rFonts w:ascii="仿宋" w:hAnsi="仿宋" w:eastAsia="仿宋" w:cs="仿宋_GB2312"/>
          <w:sz w:val="32"/>
          <w:szCs w:val="32"/>
        </w:rPr>
      </w:pPr>
    </w:p>
    <w:p>
      <w:pPr>
        <w:ind w:firstLine="640" w:firstLineChars="200"/>
        <w:rPr>
          <w:rFonts w:ascii="仿宋" w:hAnsi="仿宋" w:eastAsia="仿宋" w:cs="仿宋_GB2312"/>
          <w:sz w:val="32"/>
          <w:szCs w:val="32"/>
        </w:rPr>
      </w:pPr>
    </w:p>
    <w:p>
      <w:pPr>
        <w:ind w:firstLine="640" w:firstLineChars="200"/>
        <w:rPr>
          <w:rFonts w:ascii="仿宋" w:hAnsi="仿宋" w:eastAsia="仿宋" w:cs="仿宋_GB2312"/>
          <w:sz w:val="32"/>
          <w:szCs w:val="32"/>
        </w:rPr>
      </w:pPr>
    </w:p>
    <w:p>
      <w:pPr>
        <w:ind w:firstLine="640" w:firstLineChars="200"/>
        <w:rPr>
          <w:rFonts w:ascii="仿宋" w:hAnsi="仿宋" w:eastAsia="仿宋" w:cs="仿宋_GB2312"/>
          <w:sz w:val="32"/>
          <w:szCs w:val="32"/>
        </w:rPr>
      </w:pPr>
    </w:p>
    <w:p>
      <w:pPr>
        <w:ind w:firstLine="640" w:firstLineChars="200"/>
        <w:rPr>
          <w:rFonts w:ascii="仿宋" w:hAnsi="仿宋" w:eastAsia="仿宋" w:cs="仿宋_GB2312"/>
          <w:sz w:val="32"/>
          <w:szCs w:val="32"/>
        </w:rPr>
      </w:pPr>
    </w:p>
    <w:p>
      <w:pPr>
        <w:ind w:firstLine="640" w:firstLineChars="200"/>
        <w:rPr>
          <w:rFonts w:ascii="仿宋" w:hAnsi="仿宋" w:eastAsia="仿宋" w:cs="仿宋_GB2312"/>
          <w:sz w:val="32"/>
          <w:szCs w:val="32"/>
        </w:rPr>
      </w:pPr>
    </w:p>
    <w:p>
      <w:pPr>
        <w:ind w:firstLine="640" w:firstLineChars="200"/>
        <w:rPr>
          <w:rFonts w:ascii="仿宋" w:hAnsi="仿宋" w:eastAsia="仿宋" w:cs="仿宋_GB2312"/>
          <w:sz w:val="32"/>
          <w:szCs w:val="32"/>
        </w:rPr>
      </w:pPr>
    </w:p>
    <w:p>
      <w:pPr>
        <w:ind w:firstLine="640" w:firstLineChars="200"/>
        <w:rPr>
          <w:rFonts w:ascii="仿宋" w:hAnsi="仿宋" w:eastAsia="仿宋" w:cs="仿宋_GB2312"/>
          <w:sz w:val="32"/>
          <w:szCs w:val="32"/>
        </w:rPr>
      </w:pPr>
    </w:p>
    <w:p>
      <w:pPr>
        <w:ind w:firstLine="640" w:firstLineChars="200"/>
        <w:rPr>
          <w:rFonts w:ascii="仿宋" w:hAnsi="仿宋" w:eastAsia="仿宋" w:cs="仿宋_GB2312"/>
          <w:sz w:val="32"/>
          <w:szCs w:val="32"/>
        </w:rPr>
      </w:pPr>
    </w:p>
    <w:p>
      <w:pPr>
        <w:ind w:firstLine="640" w:firstLineChars="200"/>
        <w:rPr>
          <w:rFonts w:ascii="仿宋" w:hAnsi="仿宋" w:eastAsia="仿宋" w:cs="仿宋_GB2312"/>
          <w:sz w:val="32"/>
          <w:szCs w:val="32"/>
        </w:rPr>
      </w:pPr>
    </w:p>
    <w:p>
      <w:pPr>
        <w:ind w:firstLine="640" w:firstLineChars="200"/>
        <w:rPr>
          <w:rStyle w:val="19"/>
          <w:rFonts w:ascii="仿宋" w:hAnsi="仿宋" w:eastAsia="仿宋" w:cs="仿宋_GB2312"/>
          <w:b w:val="0"/>
          <w:bCs w:val="0"/>
          <w:kern w:val="2"/>
          <w:sz w:val="32"/>
          <w:szCs w:val="32"/>
        </w:rPr>
      </w:pPr>
    </w:p>
    <w:p>
      <w:pPr>
        <w:jc w:val="center"/>
        <w:outlineLvl w:val="0"/>
        <w:rPr>
          <w:rStyle w:val="19"/>
          <w:rFonts w:ascii="黑体" w:hAnsi="黑体" w:eastAsia="黑体"/>
          <w:b w:val="0"/>
        </w:rPr>
      </w:pPr>
      <w:bookmarkStart w:id="62" w:name="_Toc15396618"/>
      <w:r>
        <w:rPr>
          <w:rFonts w:hint="eastAsia" w:ascii="黑体" w:hAnsi="黑体" w:eastAsia="黑体"/>
          <w:color w:val="000000"/>
          <w:sz w:val="44"/>
          <w:szCs w:val="44"/>
        </w:rPr>
        <w:t>第</w:t>
      </w:r>
      <w:r>
        <w:rPr>
          <w:rStyle w:val="19"/>
          <w:rFonts w:hint="eastAsia" w:ascii="黑体" w:hAnsi="黑体" w:eastAsia="黑体"/>
          <w:b w:val="0"/>
        </w:rPr>
        <w:t>五部分</w:t>
      </w:r>
      <w:r>
        <w:rPr>
          <w:rStyle w:val="19"/>
          <w:rFonts w:ascii="黑体" w:hAnsi="黑体" w:eastAsia="黑体"/>
          <w:b w:val="0"/>
        </w:rPr>
        <w:t xml:space="preserve"> </w:t>
      </w:r>
      <w:r>
        <w:rPr>
          <w:rStyle w:val="19"/>
          <w:rFonts w:hint="eastAsia" w:ascii="黑体" w:hAnsi="黑体" w:eastAsia="黑体"/>
          <w:b w:val="0"/>
        </w:rPr>
        <w:t>附表</w:t>
      </w:r>
      <w:bookmarkEnd w:id="57"/>
      <w:bookmarkEnd w:id="62"/>
    </w:p>
    <w:p>
      <w:pPr>
        <w:jc w:val="center"/>
        <w:outlineLvl w:val="0"/>
        <w:rPr>
          <w:rFonts w:ascii="仿宋" w:hAnsi="仿宋" w:eastAsia="仿宋"/>
          <w:b/>
          <w:color w:val="000000"/>
          <w:sz w:val="44"/>
          <w:szCs w:val="44"/>
        </w:rPr>
      </w:pPr>
    </w:p>
    <w:p>
      <w:pPr>
        <w:pStyle w:val="3"/>
        <w:spacing w:line="240" w:lineRule="auto"/>
        <w:rPr>
          <w:rFonts w:ascii="仿宋" w:hAnsi="仿宋" w:eastAsia="仿宋"/>
          <w:color w:val="000000"/>
        </w:rPr>
      </w:pPr>
      <w:bookmarkStart w:id="63" w:name="_Toc15396619"/>
      <w:r>
        <w:rPr>
          <w:rFonts w:hint="eastAsia" w:ascii="仿宋" w:hAnsi="仿宋" w:eastAsia="仿宋"/>
          <w:b w:val="0"/>
          <w:color w:val="000000"/>
        </w:rPr>
        <w:t>一、收</w:t>
      </w:r>
      <w:r>
        <w:rPr>
          <w:rStyle w:val="20"/>
          <w:rFonts w:hint="eastAsia" w:ascii="仿宋" w:hAnsi="仿宋" w:eastAsia="仿宋"/>
          <w:b w:val="0"/>
          <w:bCs w:val="0"/>
        </w:rPr>
        <w:t>入支出决算总表</w:t>
      </w:r>
      <w:bookmarkEnd w:id="63"/>
    </w:p>
    <w:p>
      <w:pPr>
        <w:pStyle w:val="3"/>
        <w:spacing w:line="240" w:lineRule="auto"/>
        <w:rPr>
          <w:rFonts w:ascii="仿宋" w:hAnsi="仿宋" w:eastAsia="仿宋"/>
          <w:color w:val="000000"/>
        </w:rPr>
      </w:pPr>
      <w:bookmarkStart w:id="64" w:name="_Toc15396620"/>
      <w:r>
        <w:rPr>
          <w:rFonts w:hint="eastAsia" w:ascii="仿宋" w:hAnsi="仿宋" w:eastAsia="仿宋"/>
          <w:b w:val="0"/>
          <w:color w:val="000000"/>
        </w:rPr>
        <w:t>二、收</w:t>
      </w:r>
      <w:r>
        <w:rPr>
          <w:rStyle w:val="20"/>
          <w:rFonts w:hint="eastAsia" w:ascii="仿宋" w:hAnsi="仿宋" w:eastAsia="仿宋"/>
          <w:b w:val="0"/>
          <w:bCs w:val="0"/>
        </w:rPr>
        <w:t>入总表</w:t>
      </w:r>
      <w:bookmarkEnd w:id="64"/>
    </w:p>
    <w:p>
      <w:pPr>
        <w:pStyle w:val="3"/>
        <w:spacing w:line="240" w:lineRule="auto"/>
        <w:rPr>
          <w:rFonts w:ascii="仿宋" w:hAnsi="仿宋" w:eastAsia="仿宋"/>
          <w:color w:val="000000"/>
        </w:rPr>
      </w:pPr>
      <w:bookmarkStart w:id="65" w:name="_Toc15396621"/>
      <w:r>
        <w:rPr>
          <w:rStyle w:val="20"/>
          <w:rFonts w:hint="eastAsia" w:ascii="仿宋" w:hAnsi="仿宋" w:eastAsia="仿宋"/>
          <w:b w:val="0"/>
          <w:bCs w:val="0"/>
        </w:rPr>
        <w:t>三、</w:t>
      </w:r>
      <w:r>
        <w:rPr>
          <w:rFonts w:hint="eastAsia" w:ascii="仿宋" w:hAnsi="仿宋" w:eastAsia="仿宋"/>
          <w:b w:val="0"/>
          <w:color w:val="000000"/>
        </w:rPr>
        <w:t>支</w:t>
      </w:r>
      <w:r>
        <w:rPr>
          <w:rStyle w:val="20"/>
          <w:rFonts w:hint="eastAsia" w:ascii="仿宋" w:hAnsi="仿宋" w:eastAsia="仿宋"/>
          <w:b w:val="0"/>
          <w:bCs w:val="0"/>
        </w:rPr>
        <w:t>出总表</w:t>
      </w:r>
      <w:bookmarkEnd w:id="65"/>
    </w:p>
    <w:p>
      <w:pPr>
        <w:pStyle w:val="3"/>
        <w:spacing w:line="240" w:lineRule="auto"/>
        <w:rPr>
          <w:rFonts w:ascii="仿宋" w:hAnsi="仿宋" w:eastAsia="仿宋"/>
          <w:b w:val="0"/>
          <w:color w:val="000000"/>
        </w:rPr>
      </w:pPr>
      <w:bookmarkStart w:id="66" w:name="_Toc15396622"/>
      <w:r>
        <w:rPr>
          <w:rStyle w:val="20"/>
          <w:rFonts w:hint="eastAsia" w:ascii="仿宋" w:hAnsi="仿宋" w:eastAsia="仿宋"/>
          <w:b w:val="0"/>
          <w:bCs w:val="0"/>
        </w:rPr>
        <w:t>四、</w:t>
      </w:r>
      <w:r>
        <w:rPr>
          <w:rFonts w:hint="eastAsia" w:ascii="仿宋" w:hAnsi="仿宋" w:eastAsia="仿宋"/>
          <w:b w:val="0"/>
          <w:color w:val="000000"/>
        </w:rPr>
        <w:t>财</w:t>
      </w:r>
      <w:r>
        <w:rPr>
          <w:rStyle w:val="20"/>
          <w:rFonts w:hint="eastAsia" w:ascii="仿宋" w:hAnsi="仿宋" w:eastAsia="仿宋"/>
          <w:b w:val="0"/>
          <w:bCs w:val="0"/>
        </w:rPr>
        <w:t>政拨款收入支出决算总表</w:t>
      </w:r>
      <w:bookmarkEnd w:id="66"/>
    </w:p>
    <w:p>
      <w:pPr>
        <w:pStyle w:val="3"/>
        <w:spacing w:line="240" w:lineRule="auto"/>
        <w:rPr>
          <w:rFonts w:ascii="仿宋" w:hAnsi="仿宋" w:eastAsia="仿宋"/>
          <w:color w:val="000000"/>
        </w:rPr>
      </w:pPr>
      <w:bookmarkStart w:id="67" w:name="_Toc15396623"/>
      <w:r>
        <w:rPr>
          <w:rStyle w:val="20"/>
          <w:rFonts w:hint="eastAsia" w:ascii="仿宋" w:hAnsi="仿宋" w:eastAsia="仿宋"/>
          <w:b w:val="0"/>
          <w:bCs w:val="0"/>
        </w:rPr>
        <w:t>五、</w:t>
      </w:r>
      <w:r>
        <w:rPr>
          <w:rFonts w:hint="eastAsia" w:ascii="仿宋" w:hAnsi="仿宋" w:eastAsia="仿宋"/>
          <w:b w:val="0"/>
          <w:color w:val="000000"/>
        </w:rPr>
        <w:t>财</w:t>
      </w:r>
      <w:r>
        <w:rPr>
          <w:rStyle w:val="20"/>
          <w:rFonts w:hint="eastAsia" w:ascii="仿宋" w:hAnsi="仿宋" w:eastAsia="仿宋"/>
          <w:b w:val="0"/>
          <w:bCs w:val="0"/>
        </w:rPr>
        <w:t>政拨款支出决算明细表（政府经济分类科目）</w:t>
      </w:r>
      <w:bookmarkEnd w:id="67"/>
    </w:p>
    <w:p>
      <w:pPr>
        <w:pStyle w:val="3"/>
        <w:spacing w:line="240" w:lineRule="auto"/>
        <w:rPr>
          <w:rFonts w:ascii="仿宋" w:hAnsi="仿宋" w:eastAsia="仿宋"/>
          <w:color w:val="000000"/>
        </w:rPr>
      </w:pPr>
      <w:bookmarkStart w:id="68" w:name="_Toc15396624"/>
      <w:r>
        <w:rPr>
          <w:rStyle w:val="20"/>
          <w:rFonts w:hint="eastAsia" w:ascii="仿宋" w:hAnsi="仿宋" w:eastAsia="仿宋"/>
          <w:b w:val="0"/>
          <w:bCs w:val="0"/>
        </w:rPr>
        <w:t>六、</w:t>
      </w:r>
      <w:r>
        <w:rPr>
          <w:rFonts w:hint="eastAsia" w:ascii="仿宋" w:hAnsi="仿宋" w:eastAsia="仿宋"/>
          <w:b w:val="0"/>
          <w:color w:val="000000"/>
        </w:rPr>
        <w:t>一</w:t>
      </w:r>
      <w:r>
        <w:rPr>
          <w:rStyle w:val="20"/>
          <w:rFonts w:hint="eastAsia" w:ascii="仿宋" w:hAnsi="仿宋" w:eastAsia="仿宋"/>
          <w:b w:val="0"/>
          <w:bCs w:val="0"/>
        </w:rPr>
        <w:t>般公共预算财政拨款支出决算表</w:t>
      </w:r>
      <w:bookmarkEnd w:id="68"/>
    </w:p>
    <w:p>
      <w:pPr>
        <w:pStyle w:val="3"/>
        <w:spacing w:line="240" w:lineRule="auto"/>
        <w:rPr>
          <w:rFonts w:ascii="仿宋" w:hAnsi="仿宋" w:eastAsia="仿宋"/>
          <w:color w:val="000000"/>
        </w:rPr>
      </w:pPr>
      <w:bookmarkStart w:id="69" w:name="_Toc15396625"/>
      <w:r>
        <w:rPr>
          <w:rStyle w:val="20"/>
          <w:rFonts w:hint="eastAsia" w:ascii="仿宋" w:hAnsi="仿宋" w:eastAsia="仿宋"/>
          <w:b w:val="0"/>
          <w:bCs w:val="0"/>
        </w:rPr>
        <w:t>七、</w:t>
      </w:r>
      <w:r>
        <w:rPr>
          <w:rFonts w:hint="eastAsia" w:ascii="仿宋" w:hAnsi="仿宋" w:eastAsia="仿宋"/>
          <w:b w:val="0"/>
          <w:color w:val="000000"/>
        </w:rPr>
        <w:t>一</w:t>
      </w:r>
      <w:r>
        <w:rPr>
          <w:rStyle w:val="20"/>
          <w:rFonts w:hint="eastAsia" w:ascii="仿宋" w:hAnsi="仿宋" w:eastAsia="仿宋"/>
          <w:b w:val="0"/>
          <w:bCs w:val="0"/>
        </w:rPr>
        <w:t>般公共预算财政拨款支出决算明细表</w:t>
      </w:r>
      <w:bookmarkEnd w:id="69"/>
    </w:p>
    <w:p>
      <w:pPr>
        <w:pStyle w:val="3"/>
        <w:spacing w:line="240" w:lineRule="auto"/>
        <w:rPr>
          <w:rFonts w:ascii="仿宋" w:hAnsi="仿宋" w:eastAsia="仿宋"/>
          <w:color w:val="000000"/>
        </w:rPr>
      </w:pPr>
      <w:bookmarkStart w:id="70" w:name="_Toc15396626"/>
      <w:r>
        <w:rPr>
          <w:rStyle w:val="20"/>
          <w:rFonts w:hint="eastAsia" w:ascii="仿宋" w:hAnsi="仿宋" w:eastAsia="仿宋"/>
          <w:b w:val="0"/>
          <w:bCs w:val="0"/>
        </w:rPr>
        <w:t>八、</w:t>
      </w:r>
      <w:r>
        <w:rPr>
          <w:rFonts w:hint="eastAsia" w:ascii="仿宋" w:hAnsi="仿宋" w:eastAsia="仿宋"/>
          <w:b w:val="0"/>
          <w:color w:val="000000"/>
        </w:rPr>
        <w:t>一</w:t>
      </w:r>
      <w:r>
        <w:rPr>
          <w:rStyle w:val="20"/>
          <w:rFonts w:hint="eastAsia" w:ascii="仿宋" w:hAnsi="仿宋" w:eastAsia="仿宋"/>
          <w:b w:val="0"/>
          <w:bCs w:val="0"/>
        </w:rPr>
        <w:t>般公共预算财政拨款基本支出决算表</w:t>
      </w:r>
      <w:bookmarkEnd w:id="70"/>
    </w:p>
    <w:p>
      <w:pPr>
        <w:pStyle w:val="3"/>
        <w:spacing w:line="240" w:lineRule="auto"/>
        <w:rPr>
          <w:rFonts w:ascii="仿宋" w:hAnsi="仿宋" w:eastAsia="仿宋"/>
          <w:color w:val="000000"/>
        </w:rPr>
      </w:pPr>
      <w:bookmarkStart w:id="71" w:name="_Toc15396627"/>
      <w:r>
        <w:rPr>
          <w:rStyle w:val="20"/>
          <w:rFonts w:hint="eastAsia" w:ascii="仿宋" w:hAnsi="仿宋" w:eastAsia="仿宋"/>
          <w:b w:val="0"/>
          <w:bCs w:val="0"/>
        </w:rPr>
        <w:t>九、</w:t>
      </w:r>
      <w:r>
        <w:rPr>
          <w:rFonts w:hint="eastAsia" w:ascii="仿宋" w:hAnsi="仿宋" w:eastAsia="仿宋"/>
          <w:b w:val="0"/>
          <w:color w:val="000000"/>
        </w:rPr>
        <w:t>一</w:t>
      </w:r>
      <w:r>
        <w:rPr>
          <w:rStyle w:val="20"/>
          <w:rFonts w:hint="eastAsia" w:ascii="仿宋" w:hAnsi="仿宋" w:eastAsia="仿宋"/>
          <w:b w:val="0"/>
          <w:bCs w:val="0"/>
        </w:rPr>
        <w:t>般公共预算财政拨款项目支出决算表</w:t>
      </w:r>
      <w:bookmarkEnd w:id="71"/>
    </w:p>
    <w:p>
      <w:pPr>
        <w:pStyle w:val="3"/>
        <w:spacing w:line="240" w:lineRule="auto"/>
        <w:rPr>
          <w:rFonts w:ascii="仿宋" w:hAnsi="仿宋" w:eastAsia="仿宋"/>
          <w:color w:val="000000"/>
        </w:rPr>
      </w:pPr>
      <w:bookmarkStart w:id="72" w:name="_Toc15396628"/>
      <w:r>
        <w:rPr>
          <w:rStyle w:val="20"/>
          <w:rFonts w:hint="eastAsia" w:ascii="仿宋" w:hAnsi="仿宋" w:eastAsia="仿宋"/>
          <w:b w:val="0"/>
          <w:bCs w:val="0"/>
        </w:rPr>
        <w:t>十、</w:t>
      </w:r>
      <w:r>
        <w:rPr>
          <w:rFonts w:hint="eastAsia" w:ascii="仿宋" w:hAnsi="仿宋" w:eastAsia="仿宋"/>
          <w:b w:val="0"/>
          <w:color w:val="000000"/>
        </w:rPr>
        <w:t>一</w:t>
      </w:r>
      <w:r>
        <w:rPr>
          <w:rStyle w:val="20"/>
          <w:rFonts w:hint="eastAsia" w:ascii="仿宋" w:hAnsi="仿宋" w:eastAsia="仿宋"/>
          <w:b w:val="0"/>
          <w:bCs w:val="0"/>
        </w:rPr>
        <w:t>般公共预算财政拨款“三公”经费支出决算表</w:t>
      </w:r>
      <w:bookmarkEnd w:id="72"/>
    </w:p>
    <w:p>
      <w:pPr>
        <w:pStyle w:val="3"/>
        <w:spacing w:line="240" w:lineRule="auto"/>
        <w:rPr>
          <w:rFonts w:ascii="仿宋" w:hAnsi="仿宋" w:eastAsia="仿宋"/>
          <w:color w:val="000000"/>
        </w:rPr>
      </w:pPr>
      <w:bookmarkStart w:id="73" w:name="_Toc15396629"/>
      <w:r>
        <w:rPr>
          <w:rStyle w:val="20"/>
          <w:rFonts w:hint="eastAsia" w:ascii="仿宋" w:hAnsi="仿宋" w:eastAsia="仿宋"/>
          <w:b w:val="0"/>
          <w:bCs w:val="0"/>
        </w:rPr>
        <w:t>十一、</w:t>
      </w:r>
      <w:r>
        <w:rPr>
          <w:rFonts w:hint="eastAsia" w:ascii="仿宋" w:hAnsi="仿宋" w:eastAsia="仿宋"/>
          <w:b w:val="0"/>
          <w:color w:val="000000"/>
        </w:rPr>
        <w:t>政</w:t>
      </w:r>
      <w:r>
        <w:rPr>
          <w:rStyle w:val="20"/>
          <w:rFonts w:hint="eastAsia" w:ascii="仿宋" w:hAnsi="仿宋" w:eastAsia="仿宋"/>
          <w:b w:val="0"/>
          <w:bCs w:val="0"/>
        </w:rPr>
        <w:t>府性基金预算财政拨款收入支出决算表</w:t>
      </w:r>
      <w:bookmarkEnd w:id="73"/>
    </w:p>
    <w:p>
      <w:pPr>
        <w:pStyle w:val="3"/>
        <w:spacing w:line="240" w:lineRule="auto"/>
        <w:rPr>
          <w:rFonts w:ascii="仿宋" w:hAnsi="仿宋" w:eastAsia="仿宋"/>
          <w:color w:val="000000"/>
        </w:rPr>
      </w:pPr>
      <w:bookmarkStart w:id="74" w:name="_Toc15396630"/>
      <w:r>
        <w:rPr>
          <w:rStyle w:val="20"/>
          <w:rFonts w:hint="eastAsia" w:ascii="仿宋" w:hAnsi="仿宋" w:eastAsia="仿宋"/>
          <w:b w:val="0"/>
          <w:bCs w:val="0"/>
        </w:rPr>
        <w:t>十二、</w:t>
      </w:r>
      <w:r>
        <w:rPr>
          <w:rFonts w:hint="eastAsia" w:ascii="仿宋" w:hAnsi="仿宋" w:eastAsia="仿宋"/>
          <w:b w:val="0"/>
          <w:color w:val="000000"/>
        </w:rPr>
        <w:t>政</w:t>
      </w:r>
      <w:r>
        <w:rPr>
          <w:rStyle w:val="20"/>
          <w:rFonts w:hint="eastAsia" w:ascii="仿宋" w:hAnsi="仿宋" w:eastAsia="仿宋"/>
          <w:b w:val="0"/>
          <w:bCs w:val="0"/>
        </w:rPr>
        <w:t>府性基金预算财政拨款“三公”经费支出决算表</w:t>
      </w:r>
      <w:bookmarkEnd w:id="74"/>
    </w:p>
    <w:p>
      <w:pPr>
        <w:pStyle w:val="3"/>
        <w:spacing w:line="240" w:lineRule="auto"/>
        <w:rPr>
          <w:rFonts w:ascii="仿宋" w:hAnsi="仿宋" w:eastAsia="仿宋"/>
          <w:color w:val="000000"/>
        </w:rPr>
      </w:pPr>
      <w:bookmarkStart w:id="75" w:name="_Toc15396631"/>
      <w:r>
        <w:rPr>
          <w:rStyle w:val="20"/>
          <w:rFonts w:hint="eastAsia" w:ascii="仿宋" w:hAnsi="仿宋" w:eastAsia="仿宋"/>
          <w:b w:val="0"/>
          <w:bCs w:val="0"/>
        </w:rPr>
        <w:t>十三、</w:t>
      </w:r>
      <w:r>
        <w:rPr>
          <w:rFonts w:hint="eastAsia" w:ascii="仿宋" w:hAnsi="仿宋" w:eastAsia="仿宋"/>
          <w:b w:val="0"/>
          <w:color w:val="000000"/>
        </w:rPr>
        <w:t>国</w:t>
      </w:r>
      <w:r>
        <w:rPr>
          <w:rStyle w:val="20"/>
          <w:rFonts w:hint="eastAsia" w:ascii="仿宋" w:hAnsi="仿宋" w:eastAsia="仿宋"/>
          <w:b w:val="0"/>
          <w:bCs w:val="0"/>
        </w:rPr>
        <w:t>有资本经营预算支出决算表</w:t>
      </w:r>
      <w:bookmarkEnd w:id="75"/>
    </w:p>
    <w:sectPr>
      <w:headerReference r:id="rId5" w:type="default"/>
      <w:footerReference r:id="rId6"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ind w:left="210" w:leftChars="100" w:right="210" w:rightChars="100"/>
      <w:rPr>
        <w:rStyle w:val="17"/>
        <w:rFonts w:ascii="宋体" w:hAnsi="宋体"/>
        <w:sz w:val="28"/>
        <w:szCs w:val="28"/>
      </w:rPr>
    </w:pPr>
    <w:r>
      <w:rPr>
        <w:rFonts w:ascii="宋体" w:hAnsi="宋体"/>
        <w:sz w:val="28"/>
        <w:szCs w:val="28"/>
      </w:rPr>
      <w:fldChar w:fldCharType="begin"/>
    </w:r>
    <w:r>
      <w:rPr>
        <w:rStyle w:val="17"/>
        <w:rFonts w:ascii="宋体" w:hAnsi="宋体"/>
        <w:sz w:val="28"/>
        <w:szCs w:val="28"/>
      </w:rPr>
      <w:instrText xml:space="preserve">PAGE  </w:instrText>
    </w:r>
    <w:r>
      <w:rPr>
        <w:rFonts w:ascii="宋体" w:hAnsi="宋体"/>
        <w:sz w:val="28"/>
        <w:szCs w:val="28"/>
      </w:rPr>
      <w:fldChar w:fldCharType="separate"/>
    </w:r>
    <w:r>
      <w:rPr>
        <w:rStyle w:val="17"/>
        <w:rFonts w:ascii="宋体" w:hAnsi="宋体"/>
        <w:sz w:val="28"/>
        <w:szCs w:val="28"/>
      </w:rPr>
      <w:t>- 21 -</w:t>
    </w:r>
    <w:r>
      <w:rPr>
        <w:rFonts w:ascii="宋体" w:hAnsi="宋体"/>
        <w:sz w:val="28"/>
        <w:szCs w:val="28"/>
      </w:rPr>
      <w:fldChar w:fldCharType="end"/>
    </w:r>
  </w:p>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7"/>
      </w:rPr>
    </w:pPr>
    <w:r>
      <w:fldChar w:fldCharType="begin"/>
    </w:r>
    <w:r>
      <w:rPr>
        <w:rStyle w:val="17"/>
      </w:rPr>
      <w:instrText xml:space="preserve">PAGE  </w:instrText>
    </w:r>
    <w:r>
      <w:fldChar w:fldCharType="end"/>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3</w:t>
    </w:r>
    <w:r>
      <w:rPr>
        <w:lang w:val="zh-CN"/>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2">
    <w:nsid w:val="EC0BEF30"/>
    <w:multiLevelType w:val="singleLevel"/>
    <w:tmpl w:val="EC0BEF30"/>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4">
    <w:nsid w:val="17F426B7"/>
    <w:multiLevelType w:val="multilevel"/>
    <w:tmpl w:val="17F426B7"/>
    <w:lvl w:ilvl="0" w:tentative="0">
      <w:start w:val="10"/>
      <w:numFmt w:val="japaneseCounting"/>
      <w:lvlText w:val="%1、"/>
      <w:lvlJc w:val="left"/>
      <w:pPr>
        <w:ind w:left="1429" w:hanging="720"/>
      </w:pPr>
      <w:rPr>
        <w:rFonts w:hint="default" w:cs="Times New Roman"/>
      </w:rPr>
    </w:lvl>
    <w:lvl w:ilvl="1" w:tentative="0">
      <w:start w:val="1"/>
      <w:numFmt w:val="lowerLetter"/>
      <w:lvlText w:val="%2)"/>
      <w:lvlJc w:val="left"/>
      <w:pPr>
        <w:ind w:left="1549" w:hanging="420"/>
      </w:pPr>
      <w:rPr>
        <w:rFonts w:cs="Times New Roman"/>
      </w:rPr>
    </w:lvl>
    <w:lvl w:ilvl="2" w:tentative="0">
      <w:start w:val="1"/>
      <w:numFmt w:val="lowerRoman"/>
      <w:lvlText w:val="%3."/>
      <w:lvlJc w:val="right"/>
      <w:pPr>
        <w:ind w:left="1969" w:hanging="420"/>
      </w:pPr>
      <w:rPr>
        <w:rFonts w:cs="Times New Roman"/>
      </w:rPr>
    </w:lvl>
    <w:lvl w:ilvl="3" w:tentative="0">
      <w:start w:val="1"/>
      <w:numFmt w:val="decimal"/>
      <w:lvlText w:val="%4."/>
      <w:lvlJc w:val="left"/>
      <w:pPr>
        <w:ind w:left="2389" w:hanging="420"/>
      </w:pPr>
      <w:rPr>
        <w:rFonts w:cs="Times New Roman"/>
      </w:rPr>
    </w:lvl>
    <w:lvl w:ilvl="4" w:tentative="0">
      <w:start w:val="1"/>
      <w:numFmt w:val="lowerLetter"/>
      <w:lvlText w:val="%5)"/>
      <w:lvlJc w:val="left"/>
      <w:pPr>
        <w:ind w:left="2809" w:hanging="420"/>
      </w:pPr>
      <w:rPr>
        <w:rFonts w:cs="Times New Roman"/>
      </w:rPr>
    </w:lvl>
    <w:lvl w:ilvl="5" w:tentative="0">
      <w:start w:val="1"/>
      <w:numFmt w:val="lowerRoman"/>
      <w:lvlText w:val="%6."/>
      <w:lvlJc w:val="right"/>
      <w:pPr>
        <w:ind w:left="3229" w:hanging="420"/>
      </w:pPr>
      <w:rPr>
        <w:rFonts w:cs="Times New Roman"/>
      </w:rPr>
    </w:lvl>
    <w:lvl w:ilvl="6" w:tentative="0">
      <w:start w:val="1"/>
      <w:numFmt w:val="decimal"/>
      <w:lvlText w:val="%7."/>
      <w:lvlJc w:val="left"/>
      <w:pPr>
        <w:ind w:left="3649" w:hanging="420"/>
      </w:pPr>
      <w:rPr>
        <w:rFonts w:cs="Times New Roman"/>
      </w:rPr>
    </w:lvl>
    <w:lvl w:ilvl="7" w:tentative="0">
      <w:start w:val="1"/>
      <w:numFmt w:val="lowerLetter"/>
      <w:lvlText w:val="%8)"/>
      <w:lvlJc w:val="left"/>
      <w:pPr>
        <w:ind w:left="4069" w:hanging="420"/>
      </w:pPr>
      <w:rPr>
        <w:rFonts w:cs="Times New Roman"/>
      </w:rPr>
    </w:lvl>
    <w:lvl w:ilvl="8" w:tentative="0">
      <w:start w:val="1"/>
      <w:numFmt w:val="lowerRoman"/>
      <w:lvlText w:val="%9."/>
      <w:lvlJc w:val="right"/>
      <w:pPr>
        <w:ind w:left="4489" w:hanging="420"/>
      </w:pPr>
      <w:rPr>
        <w:rFonts w:cs="Times New Roman"/>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Q5Y2NkNTAxNzliZDQwMmM3Y2EyYmExMTJlZGNjM2YifQ=="/>
  </w:docVars>
  <w:rsids>
    <w:rsidRoot w:val="00F1361C"/>
    <w:rsid w:val="000222C6"/>
    <w:rsid w:val="00022341"/>
    <w:rsid w:val="0002549F"/>
    <w:rsid w:val="00057AD3"/>
    <w:rsid w:val="0006487A"/>
    <w:rsid w:val="00065269"/>
    <w:rsid w:val="00065F8F"/>
    <w:rsid w:val="000768F2"/>
    <w:rsid w:val="0009184B"/>
    <w:rsid w:val="0009593C"/>
    <w:rsid w:val="000B047F"/>
    <w:rsid w:val="000B5923"/>
    <w:rsid w:val="000B5A48"/>
    <w:rsid w:val="000B6FF3"/>
    <w:rsid w:val="000C3467"/>
    <w:rsid w:val="000C3CA6"/>
    <w:rsid w:val="000D1267"/>
    <w:rsid w:val="000D1D50"/>
    <w:rsid w:val="000D5782"/>
    <w:rsid w:val="000E6613"/>
    <w:rsid w:val="000E7119"/>
    <w:rsid w:val="00111FBF"/>
    <w:rsid w:val="00114E9B"/>
    <w:rsid w:val="0014729F"/>
    <w:rsid w:val="00157BAB"/>
    <w:rsid w:val="0016092F"/>
    <w:rsid w:val="001618D4"/>
    <w:rsid w:val="001654D1"/>
    <w:rsid w:val="0018106D"/>
    <w:rsid w:val="001877A7"/>
    <w:rsid w:val="00191536"/>
    <w:rsid w:val="00195552"/>
    <w:rsid w:val="00196687"/>
    <w:rsid w:val="001A2011"/>
    <w:rsid w:val="001C0962"/>
    <w:rsid w:val="001C6060"/>
    <w:rsid w:val="001D0370"/>
    <w:rsid w:val="001D7531"/>
    <w:rsid w:val="001E737D"/>
    <w:rsid w:val="001F0592"/>
    <w:rsid w:val="001F3245"/>
    <w:rsid w:val="001F7506"/>
    <w:rsid w:val="002006CD"/>
    <w:rsid w:val="00202B36"/>
    <w:rsid w:val="00204B7A"/>
    <w:rsid w:val="0021101A"/>
    <w:rsid w:val="0021255B"/>
    <w:rsid w:val="00220536"/>
    <w:rsid w:val="00235629"/>
    <w:rsid w:val="00260C38"/>
    <w:rsid w:val="002616C0"/>
    <w:rsid w:val="002662AA"/>
    <w:rsid w:val="00280496"/>
    <w:rsid w:val="00295495"/>
    <w:rsid w:val="002B2613"/>
    <w:rsid w:val="002B7D16"/>
    <w:rsid w:val="002D29F8"/>
    <w:rsid w:val="002F1818"/>
    <w:rsid w:val="002F3344"/>
    <w:rsid w:val="002F378E"/>
    <w:rsid w:val="002F567B"/>
    <w:rsid w:val="00303B06"/>
    <w:rsid w:val="00310F80"/>
    <w:rsid w:val="0031734B"/>
    <w:rsid w:val="003216A9"/>
    <w:rsid w:val="00325572"/>
    <w:rsid w:val="0034540D"/>
    <w:rsid w:val="00350DAC"/>
    <w:rsid w:val="0037013F"/>
    <w:rsid w:val="00380C92"/>
    <w:rsid w:val="003A058C"/>
    <w:rsid w:val="003A484F"/>
    <w:rsid w:val="003B0BE0"/>
    <w:rsid w:val="003B0C1B"/>
    <w:rsid w:val="003B688C"/>
    <w:rsid w:val="003C0291"/>
    <w:rsid w:val="003C39AE"/>
    <w:rsid w:val="003C7B60"/>
    <w:rsid w:val="003D1FB2"/>
    <w:rsid w:val="003D66DA"/>
    <w:rsid w:val="003E1310"/>
    <w:rsid w:val="003E6F55"/>
    <w:rsid w:val="003F6320"/>
    <w:rsid w:val="00402B82"/>
    <w:rsid w:val="00406254"/>
    <w:rsid w:val="004223DE"/>
    <w:rsid w:val="00434489"/>
    <w:rsid w:val="00437085"/>
    <w:rsid w:val="00443880"/>
    <w:rsid w:val="004464F4"/>
    <w:rsid w:val="00471401"/>
    <w:rsid w:val="004724E9"/>
    <w:rsid w:val="00473F31"/>
    <w:rsid w:val="0048263A"/>
    <w:rsid w:val="00487E5D"/>
    <w:rsid w:val="00492DBD"/>
    <w:rsid w:val="004A1368"/>
    <w:rsid w:val="004A711F"/>
    <w:rsid w:val="004B199D"/>
    <w:rsid w:val="004B3B45"/>
    <w:rsid w:val="004B4690"/>
    <w:rsid w:val="004B4BDD"/>
    <w:rsid w:val="004E0A2D"/>
    <w:rsid w:val="004E206B"/>
    <w:rsid w:val="004E6DF7"/>
    <w:rsid w:val="004F0FBD"/>
    <w:rsid w:val="004F2F8D"/>
    <w:rsid w:val="004F6C21"/>
    <w:rsid w:val="00505A47"/>
    <w:rsid w:val="00512FDA"/>
    <w:rsid w:val="00515D34"/>
    <w:rsid w:val="00520DA0"/>
    <w:rsid w:val="005664BB"/>
    <w:rsid w:val="0057481D"/>
    <w:rsid w:val="0058486E"/>
    <w:rsid w:val="00596EF8"/>
    <w:rsid w:val="005A30A5"/>
    <w:rsid w:val="005B02C9"/>
    <w:rsid w:val="005D1C8B"/>
    <w:rsid w:val="005D5CED"/>
    <w:rsid w:val="005F1A4C"/>
    <w:rsid w:val="005F555B"/>
    <w:rsid w:val="00600089"/>
    <w:rsid w:val="00605688"/>
    <w:rsid w:val="006070AF"/>
    <w:rsid w:val="00607E6C"/>
    <w:rsid w:val="006101B1"/>
    <w:rsid w:val="00614E44"/>
    <w:rsid w:val="00622830"/>
    <w:rsid w:val="00630AEF"/>
    <w:rsid w:val="006325F8"/>
    <w:rsid w:val="00633CF7"/>
    <w:rsid w:val="00634C9A"/>
    <w:rsid w:val="006440E4"/>
    <w:rsid w:val="0066343B"/>
    <w:rsid w:val="00664777"/>
    <w:rsid w:val="006748A4"/>
    <w:rsid w:val="00683E73"/>
    <w:rsid w:val="006A033D"/>
    <w:rsid w:val="006A3141"/>
    <w:rsid w:val="006A5E34"/>
    <w:rsid w:val="006B0BD6"/>
    <w:rsid w:val="006B2422"/>
    <w:rsid w:val="006B2B9A"/>
    <w:rsid w:val="006C1937"/>
    <w:rsid w:val="006F020C"/>
    <w:rsid w:val="007127B7"/>
    <w:rsid w:val="00730804"/>
    <w:rsid w:val="007416B6"/>
    <w:rsid w:val="00746F48"/>
    <w:rsid w:val="0075404D"/>
    <w:rsid w:val="0076182A"/>
    <w:rsid w:val="00767B7E"/>
    <w:rsid w:val="007770C3"/>
    <w:rsid w:val="00784D24"/>
    <w:rsid w:val="00785FBA"/>
    <w:rsid w:val="00786E4A"/>
    <w:rsid w:val="007875EB"/>
    <w:rsid w:val="0079426B"/>
    <w:rsid w:val="007D312A"/>
    <w:rsid w:val="007D3F19"/>
    <w:rsid w:val="007E23B0"/>
    <w:rsid w:val="007F1991"/>
    <w:rsid w:val="007F2C2F"/>
    <w:rsid w:val="007F55FC"/>
    <w:rsid w:val="007F5665"/>
    <w:rsid w:val="00800112"/>
    <w:rsid w:val="00820F1D"/>
    <w:rsid w:val="008253BB"/>
    <w:rsid w:val="0083146C"/>
    <w:rsid w:val="0083706E"/>
    <w:rsid w:val="008410A4"/>
    <w:rsid w:val="008423A5"/>
    <w:rsid w:val="00850625"/>
    <w:rsid w:val="00853718"/>
    <w:rsid w:val="00855221"/>
    <w:rsid w:val="00860645"/>
    <w:rsid w:val="00871F71"/>
    <w:rsid w:val="00885AF4"/>
    <w:rsid w:val="008939CD"/>
    <w:rsid w:val="008B768C"/>
    <w:rsid w:val="008C2A70"/>
    <w:rsid w:val="008C4DB1"/>
    <w:rsid w:val="008C4EAF"/>
    <w:rsid w:val="008C5176"/>
    <w:rsid w:val="008C7FD0"/>
    <w:rsid w:val="008E1DE7"/>
    <w:rsid w:val="008E707C"/>
    <w:rsid w:val="008F1690"/>
    <w:rsid w:val="00900B08"/>
    <w:rsid w:val="00902155"/>
    <w:rsid w:val="00902FA3"/>
    <w:rsid w:val="00923564"/>
    <w:rsid w:val="0092392E"/>
    <w:rsid w:val="009315F9"/>
    <w:rsid w:val="00946945"/>
    <w:rsid w:val="00951248"/>
    <w:rsid w:val="0095152F"/>
    <w:rsid w:val="00954C49"/>
    <w:rsid w:val="0097099F"/>
    <w:rsid w:val="00971997"/>
    <w:rsid w:val="00971FFC"/>
    <w:rsid w:val="00982421"/>
    <w:rsid w:val="0098660A"/>
    <w:rsid w:val="009931C3"/>
    <w:rsid w:val="0099792E"/>
    <w:rsid w:val="009B2C43"/>
    <w:rsid w:val="009B4EAE"/>
    <w:rsid w:val="009B7573"/>
    <w:rsid w:val="009C22F4"/>
    <w:rsid w:val="009C2E98"/>
    <w:rsid w:val="009D3447"/>
    <w:rsid w:val="009D3E28"/>
    <w:rsid w:val="009D4711"/>
    <w:rsid w:val="009D6DC3"/>
    <w:rsid w:val="009F1185"/>
    <w:rsid w:val="009F18CD"/>
    <w:rsid w:val="009F2A13"/>
    <w:rsid w:val="00A04EB0"/>
    <w:rsid w:val="00A13CC1"/>
    <w:rsid w:val="00A16847"/>
    <w:rsid w:val="00A237D8"/>
    <w:rsid w:val="00A268C4"/>
    <w:rsid w:val="00A307CD"/>
    <w:rsid w:val="00A40A00"/>
    <w:rsid w:val="00A4142F"/>
    <w:rsid w:val="00A56DF2"/>
    <w:rsid w:val="00A64F2F"/>
    <w:rsid w:val="00A67142"/>
    <w:rsid w:val="00A67AB5"/>
    <w:rsid w:val="00A91760"/>
    <w:rsid w:val="00A93B00"/>
    <w:rsid w:val="00A93C21"/>
    <w:rsid w:val="00AC3C6A"/>
    <w:rsid w:val="00AD5620"/>
    <w:rsid w:val="00AD7C1B"/>
    <w:rsid w:val="00AE0031"/>
    <w:rsid w:val="00AE16BA"/>
    <w:rsid w:val="00AE1EBE"/>
    <w:rsid w:val="00AF2BB4"/>
    <w:rsid w:val="00B03C9D"/>
    <w:rsid w:val="00B060AE"/>
    <w:rsid w:val="00B10517"/>
    <w:rsid w:val="00B11939"/>
    <w:rsid w:val="00B14E76"/>
    <w:rsid w:val="00B161B8"/>
    <w:rsid w:val="00B2048C"/>
    <w:rsid w:val="00B310B9"/>
    <w:rsid w:val="00B35F3F"/>
    <w:rsid w:val="00B36CBB"/>
    <w:rsid w:val="00B425E0"/>
    <w:rsid w:val="00B440AA"/>
    <w:rsid w:val="00B44B70"/>
    <w:rsid w:val="00B51E9A"/>
    <w:rsid w:val="00B53C56"/>
    <w:rsid w:val="00B77EA6"/>
    <w:rsid w:val="00B81598"/>
    <w:rsid w:val="00B841F1"/>
    <w:rsid w:val="00B84A3B"/>
    <w:rsid w:val="00B93159"/>
    <w:rsid w:val="00B944D6"/>
    <w:rsid w:val="00BB4DF0"/>
    <w:rsid w:val="00BC289F"/>
    <w:rsid w:val="00BC39D6"/>
    <w:rsid w:val="00BC5361"/>
    <w:rsid w:val="00BC5460"/>
    <w:rsid w:val="00BC6B50"/>
    <w:rsid w:val="00BD0E25"/>
    <w:rsid w:val="00BF5BD6"/>
    <w:rsid w:val="00C03E31"/>
    <w:rsid w:val="00C33E72"/>
    <w:rsid w:val="00C354B2"/>
    <w:rsid w:val="00C35554"/>
    <w:rsid w:val="00C40AAC"/>
    <w:rsid w:val="00C42709"/>
    <w:rsid w:val="00C533CC"/>
    <w:rsid w:val="00C5546E"/>
    <w:rsid w:val="00C5751C"/>
    <w:rsid w:val="00C61BFC"/>
    <w:rsid w:val="00C62B85"/>
    <w:rsid w:val="00C65438"/>
    <w:rsid w:val="00C65DD1"/>
    <w:rsid w:val="00C72984"/>
    <w:rsid w:val="00C74286"/>
    <w:rsid w:val="00C91CBB"/>
    <w:rsid w:val="00CA3CC8"/>
    <w:rsid w:val="00CA6118"/>
    <w:rsid w:val="00CB5C80"/>
    <w:rsid w:val="00CC09B6"/>
    <w:rsid w:val="00CC666F"/>
    <w:rsid w:val="00CD1E3F"/>
    <w:rsid w:val="00CD4497"/>
    <w:rsid w:val="00CE440A"/>
    <w:rsid w:val="00CE44F6"/>
    <w:rsid w:val="00CE49DA"/>
    <w:rsid w:val="00CE7B61"/>
    <w:rsid w:val="00D00095"/>
    <w:rsid w:val="00D20620"/>
    <w:rsid w:val="00D26091"/>
    <w:rsid w:val="00D34E7C"/>
    <w:rsid w:val="00D35489"/>
    <w:rsid w:val="00D41077"/>
    <w:rsid w:val="00D51276"/>
    <w:rsid w:val="00D67C8A"/>
    <w:rsid w:val="00D7035F"/>
    <w:rsid w:val="00D81726"/>
    <w:rsid w:val="00D956A6"/>
    <w:rsid w:val="00DA1245"/>
    <w:rsid w:val="00DA65AC"/>
    <w:rsid w:val="00DB0F51"/>
    <w:rsid w:val="00DB1913"/>
    <w:rsid w:val="00DB60E4"/>
    <w:rsid w:val="00DC17DA"/>
    <w:rsid w:val="00DC410D"/>
    <w:rsid w:val="00DC68CA"/>
    <w:rsid w:val="00DC7CBA"/>
    <w:rsid w:val="00DD73B7"/>
    <w:rsid w:val="00DE0959"/>
    <w:rsid w:val="00DF28BC"/>
    <w:rsid w:val="00DF34B9"/>
    <w:rsid w:val="00E01053"/>
    <w:rsid w:val="00E07ACF"/>
    <w:rsid w:val="00E276FD"/>
    <w:rsid w:val="00E331A1"/>
    <w:rsid w:val="00E33202"/>
    <w:rsid w:val="00E336A9"/>
    <w:rsid w:val="00E50624"/>
    <w:rsid w:val="00E568DF"/>
    <w:rsid w:val="00E64269"/>
    <w:rsid w:val="00E67009"/>
    <w:rsid w:val="00E82267"/>
    <w:rsid w:val="00E8612D"/>
    <w:rsid w:val="00EA010F"/>
    <w:rsid w:val="00EA352F"/>
    <w:rsid w:val="00ED1B63"/>
    <w:rsid w:val="00ED3C1F"/>
    <w:rsid w:val="00ED4085"/>
    <w:rsid w:val="00ED420E"/>
    <w:rsid w:val="00EE2F57"/>
    <w:rsid w:val="00EF4C34"/>
    <w:rsid w:val="00EF77C6"/>
    <w:rsid w:val="00F05438"/>
    <w:rsid w:val="00F1361C"/>
    <w:rsid w:val="00F160C7"/>
    <w:rsid w:val="00F36D8F"/>
    <w:rsid w:val="00F417B1"/>
    <w:rsid w:val="00F55754"/>
    <w:rsid w:val="00F602DF"/>
    <w:rsid w:val="00F81FD9"/>
    <w:rsid w:val="00F841AA"/>
    <w:rsid w:val="00FA23E8"/>
    <w:rsid w:val="00FB357F"/>
    <w:rsid w:val="00FD13FC"/>
    <w:rsid w:val="00FD3CC1"/>
    <w:rsid w:val="00FF1E02"/>
    <w:rsid w:val="00FF30B4"/>
    <w:rsid w:val="10C055FF"/>
    <w:rsid w:val="16BB723D"/>
    <w:rsid w:val="240371BF"/>
    <w:rsid w:val="29FD04D3"/>
    <w:rsid w:val="319F7F4E"/>
    <w:rsid w:val="454204F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99" w:semiHidden="0" w:name="toc 1"/>
    <w:lsdException w:unhideWhenUsed="0" w:uiPriority="99" w:semiHidden="0" w:name="toc 2"/>
    <w:lsdException w:unhideWhenUsed="0" w:uiPriority="9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0"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20"/>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21"/>
    <w:qFormat/>
    <w:uiPriority w:val="99"/>
    <w:pPr>
      <w:keepNext/>
      <w:keepLines/>
      <w:spacing w:before="260" w:after="260" w:line="416" w:lineRule="auto"/>
      <w:outlineLvl w:val="2"/>
    </w:pPr>
    <w:rPr>
      <w:b/>
      <w:bCs/>
      <w:sz w:val="32"/>
      <w:szCs w:val="32"/>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7"/>
    <w:uiPriority w:val="99"/>
    <w:pPr>
      <w:spacing w:beforeLines="30"/>
    </w:pPr>
    <w:rPr>
      <w:rFonts w:ascii="仿宋_GB2312" w:eastAsia="仿宋_GB2312"/>
      <w:kern w:val="0"/>
      <w:sz w:val="24"/>
      <w:szCs w:val="20"/>
    </w:rPr>
  </w:style>
  <w:style w:type="paragraph" w:styleId="6">
    <w:name w:val="toc 3"/>
    <w:basedOn w:val="1"/>
    <w:next w:val="1"/>
    <w:uiPriority w:val="99"/>
    <w:pPr>
      <w:tabs>
        <w:tab w:val="right" w:leader="dot" w:pos="8296"/>
      </w:tabs>
      <w:ind w:left="840" w:leftChars="400"/>
    </w:pPr>
  </w:style>
  <w:style w:type="paragraph" w:styleId="7">
    <w:name w:val="Balloon Text"/>
    <w:basedOn w:val="1"/>
    <w:link w:val="31"/>
    <w:semiHidden/>
    <w:uiPriority w:val="99"/>
    <w:rPr>
      <w:sz w:val="18"/>
      <w:szCs w:val="18"/>
    </w:rPr>
  </w:style>
  <w:style w:type="paragraph" w:styleId="8">
    <w:name w:val="footer"/>
    <w:basedOn w:val="1"/>
    <w:link w:val="26"/>
    <w:uiPriority w:val="0"/>
    <w:pPr>
      <w:tabs>
        <w:tab w:val="center" w:pos="4153"/>
        <w:tab w:val="right" w:pos="8306"/>
      </w:tabs>
      <w:snapToGrid w:val="0"/>
      <w:jc w:val="left"/>
    </w:pPr>
    <w:rPr>
      <w:rFonts w:ascii="Calibri" w:hAnsi="Calibri"/>
      <w:kern w:val="0"/>
      <w:sz w:val="18"/>
      <w:szCs w:val="20"/>
    </w:rPr>
  </w:style>
  <w:style w:type="paragraph" w:styleId="9">
    <w:name w:val="header"/>
    <w:basedOn w:val="1"/>
    <w:link w:val="25"/>
    <w:semiHidden/>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0">
    <w:name w:val="toc 1"/>
    <w:basedOn w:val="1"/>
    <w:next w:val="1"/>
    <w:uiPriority w:val="99"/>
    <w:pPr>
      <w:tabs>
        <w:tab w:val="right" w:leader="dot" w:pos="8296"/>
      </w:tabs>
      <w:spacing w:before="93"/>
      <w:jc w:val="center"/>
    </w:pPr>
    <w:rPr>
      <w:rFonts w:ascii="仿宋" w:hAnsi="仿宋" w:eastAsia="仿宋"/>
      <w:sz w:val="28"/>
      <w:szCs w:val="28"/>
    </w:rPr>
  </w:style>
  <w:style w:type="paragraph" w:styleId="11">
    <w:name w:val="toc 2"/>
    <w:basedOn w:val="1"/>
    <w:next w:val="1"/>
    <w:uiPriority w:val="99"/>
    <w:pPr>
      <w:tabs>
        <w:tab w:val="right" w:leader="dot" w:pos="8296"/>
      </w:tabs>
      <w:ind w:left="420" w:leftChars="200"/>
    </w:pPr>
    <w:rPr>
      <w:rFonts w:ascii="仿宋" w:hAnsi="仿宋" w:eastAsia="仿宋"/>
      <w:sz w:val="28"/>
      <w:szCs w:val="28"/>
    </w:rPr>
  </w:style>
  <w:style w:type="paragraph" w:styleId="12">
    <w:name w:val="Normal (Web)"/>
    <w:basedOn w:val="1"/>
    <w:unhideWhenUsed/>
    <w:uiPriority w:val="99"/>
    <w:pPr>
      <w:widowControl/>
      <w:spacing w:before="100" w:beforeAutospacing="1" w:after="100" w:afterAutospacing="1"/>
      <w:jc w:val="left"/>
    </w:pPr>
    <w:rPr>
      <w:rFonts w:ascii="宋体" w:hAnsi="宋体" w:cs="宋体"/>
      <w:kern w:val="0"/>
      <w:sz w:val="24"/>
    </w:rPr>
  </w:style>
  <w:style w:type="table" w:styleId="14">
    <w:name w:val="Table Grid"/>
    <w:basedOn w:val="13"/>
    <w:qFormat/>
    <w:locked/>
    <w:uiPriority w:val="0"/>
    <w:pPr>
      <w:widowControl w:val="0"/>
      <w:jc w:val="both"/>
    </w:pPr>
    <w:rPr>
      <w:rFonts w:ascii="Times New Roman" w:hAnsi="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99"/>
    <w:rPr>
      <w:rFonts w:cs="Times New Roman"/>
      <w:b/>
    </w:rPr>
  </w:style>
  <w:style w:type="character" w:styleId="17">
    <w:name w:val="page number"/>
    <w:basedOn w:val="15"/>
    <w:qFormat/>
    <w:uiPriority w:val="0"/>
  </w:style>
  <w:style w:type="character" w:styleId="18">
    <w:name w:val="Hyperlink"/>
    <w:basedOn w:val="15"/>
    <w:uiPriority w:val="99"/>
    <w:rPr>
      <w:rFonts w:cs="Times New Roman"/>
      <w:color w:val="0000FF"/>
      <w:u w:val="single"/>
    </w:rPr>
  </w:style>
  <w:style w:type="character" w:customStyle="1" w:styleId="19">
    <w:name w:val="标题 1 Char"/>
    <w:basedOn w:val="15"/>
    <w:link w:val="2"/>
    <w:locked/>
    <w:uiPriority w:val="99"/>
    <w:rPr>
      <w:rFonts w:ascii="Times New Roman" w:hAnsi="Times New Roman" w:cs="Times New Roman"/>
      <w:b/>
      <w:bCs/>
      <w:kern w:val="44"/>
      <w:sz w:val="44"/>
      <w:szCs w:val="44"/>
    </w:rPr>
  </w:style>
  <w:style w:type="character" w:customStyle="1" w:styleId="20">
    <w:name w:val="标题 2 Char"/>
    <w:basedOn w:val="15"/>
    <w:link w:val="3"/>
    <w:locked/>
    <w:uiPriority w:val="99"/>
    <w:rPr>
      <w:rFonts w:ascii="Cambria" w:hAnsi="Cambria" w:eastAsia="宋体" w:cs="Times New Roman"/>
      <w:b/>
      <w:bCs/>
      <w:kern w:val="2"/>
      <w:sz w:val="32"/>
      <w:szCs w:val="32"/>
    </w:rPr>
  </w:style>
  <w:style w:type="character" w:customStyle="1" w:styleId="21">
    <w:name w:val="标题 3 Char"/>
    <w:basedOn w:val="15"/>
    <w:link w:val="4"/>
    <w:locked/>
    <w:uiPriority w:val="99"/>
    <w:rPr>
      <w:rFonts w:ascii="Times New Roman" w:hAnsi="Times New Roman" w:cs="Times New Roman"/>
      <w:b/>
      <w:bCs/>
      <w:kern w:val="2"/>
      <w:sz w:val="32"/>
      <w:szCs w:val="32"/>
    </w:rPr>
  </w:style>
  <w:style w:type="character" w:customStyle="1" w:styleId="22">
    <w:name w:val="Body Text Char"/>
    <w:basedOn w:val="15"/>
    <w:link w:val="5"/>
    <w:semiHidden/>
    <w:locked/>
    <w:uiPriority w:val="99"/>
    <w:rPr>
      <w:rFonts w:ascii="Times New Roman" w:hAnsi="Times New Roman" w:cs="Times New Roman"/>
      <w:sz w:val="24"/>
      <w:szCs w:val="24"/>
    </w:rPr>
  </w:style>
  <w:style w:type="character" w:customStyle="1" w:styleId="23">
    <w:name w:val="Footer Char"/>
    <w:basedOn w:val="15"/>
    <w:link w:val="8"/>
    <w:semiHidden/>
    <w:locked/>
    <w:uiPriority w:val="99"/>
    <w:rPr>
      <w:rFonts w:ascii="Times New Roman" w:hAnsi="Times New Roman" w:cs="Times New Roman"/>
      <w:sz w:val="18"/>
      <w:szCs w:val="18"/>
    </w:rPr>
  </w:style>
  <w:style w:type="character" w:customStyle="1" w:styleId="24">
    <w:name w:val="Header Char"/>
    <w:basedOn w:val="15"/>
    <w:link w:val="9"/>
    <w:semiHidden/>
    <w:locked/>
    <w:uiPriority w:val="99"/>
    <w:rPr>
      <w:rFonts w:ascii="Times New Roman" w:hAnsi="Times New Roman" w:cs="Times New Roman"/>
      <w:sz w:val="18"/>
      <w:szCs w:val="18"/>
    </w:rPr>
  </w:style>
  <w:style w:type="character" w:customStyle="1" w:styleId="25">
    <w:name w:val="页眉 Char"/>
    <w:link w:val="9"/>
    <w:semiHidden/>
    <w:locked/>
    <w:uiPriority w:val="99"/>
    <w:rPr>
      <w:sz w:val="18"/>
    </w:rPr>
  </w:style>
  <w:style w:type="character" w:customStyle="1" w:styleId="26">
    <w:name w:val="页脚 Char"/>
    <w:link w:val="8"/>
    <w:locked/>
    <w:uiPriority w:val="99"/>
    <w:rPr>
      <w:sz w:val="18"/>
    </w:rPr>
  </w:style>
  <w:style w:type="character" w:customStyle="1" w:styleId="27">
    <w:name w:val="正文文本 Char"/>
    <w:link w:val="5"/>
    <w:locked/>
    <w:uiPriority w:val="99"/>
    <w:rPr>
      <w:rFonts w:ascii="仿宋_GB2312" w:hAnsi="Times New Roman" w:eastAsia="仿宋_GB2312"/>
      <w:sz w:val="24"/>
    </w:rPr>
  </w:style>
  <w:style w:type="paragraph" w:customStyle="1" w:styleId="28">
    <w:name w:val="Default"/>
    <w:uiPriority w:val="99"/>
    <w:pPr>
      <w:widowControl w:val="0"/>
      <w:autoSpaceDE w:val="0"/>
      <w:autoSpaceDN w:val="0"/>
      <w:adjustRightInd w:val="0"/>
    </w:pPr>
    <w:rPr>
      <w:rFonts w:ascii="仿宋" w:hAnsi="Calibri" w:eastAsia="仿宋" w:cs="仿宋"/>
      <w:color w:val="000000"/>
      <w:kern w:val="0"/>
      <w:sz w:val="24"/>
      <w:szCs w:val="24"/>
      <w:lang w:val="en-US" w:eastAsia="zh-CN" w:bidi="ar-SA"/>
    </w:rPr>
  </w:style>
  <w:style w:type="paragraph" w:styleId="29">
    <w:name w:val="List Paragraph"/>
    <w:basedOn w:val="1"/>
    <w:qFormat/>
    <w:uiPriority w:val="99"/>
    <w:pPr>
      <w:ind w:firstLine="420" w:firstLineChars="200"/>
    </w:pPr>
  </w:style>
  <w:style w:type="paragraph" w:customStyle="1" w:styleId="30">
    <w:name w:val="TOC Heading"/>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31">
    <w:name w:val="批注框文本 Char"/>
    <w:basedOn w:val="15"/>
    <w:link w:val="7"/>
    <w:semiHidden/>
    <w:locked/>
    <w:uiPriority w:val="99"/>
    <w:rPr>
      <w:rFonts w:ascii="Times New Roman" w:hAnsi="Times New Roman"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5.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embeddings/oleObject4.bin"/></Relationships>
</file>

<file path=word/charts/_rels/chart7.xml.rels><?xml version="1.0" encoding="UTF-8" standalone="yes"?>
<Relationships xmlns="http://schemas.openxmlformats.org/package/2006/relationships"><Relationship Id="rId1" Type="http://schemas.openxmlformats.org/officeDocument/2006/relationships/oleObject" Target="../embeddings/oleObject5.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manualLayout>
          <c:layoutTarget val="inner"/>
          <c:xMode val="edge"/>
          <c:yMode val="edge"/>
          <c:x val="0.117865199671538"/>
          <c:y val="0.192603257926093"/>
          <c:w val="0.667203288648421"/>
          <c:h val="0.706458692663418"/>
        </c:manualLayout>
      </c:layout>
      <c:barChart>
        <c:barDir val="col"/>
        <c:grouping val="clustered"/>
        <c:varyColors val="0"/>
        <c:ser>
          <c:idx val="0"/>
          <c:order val="0"/>
          <c:tx>
            <c:strRef>
              <c:f>Sheet1!$B$1</c:f>
              <c:strCache>
                <c:ptCount val="1"/>
                <c:pt idx="0">
                  <c:v>收支决算总计变动（万元）</c:v>
                </c:pt>
              </c:strCache>
            </c:strRef>
          </c:tx>
          <c:invertIfNegative val="0"/>
          <c:dLbls>
            <c:delete val="1"/>
          </c:dLbls>
          <c:cat>
            <c:strRef>
              <c:f>Sheet1!$A$2:$A$3</c:f>
              <c:strCache>
                <c:ptCount val="2"/>
                <c:pt idx="0">
                  <c:v>2017年</c:v>
                </c:pt>
                <c:pt idx="1">
                  <c:v>2018年</c:v>
                </c:pt>
              </c:strCache>
            </c:strRef>
          </c:cat>
          <c:val>
            <c:numRef>
              <c:f>Sheet1!$B$2:$B$3</c:f>
              <c:numCache>
                <c:formatCode>General</c:formatCode>
                <c:ptCount val="2"/>
                <c:pt idx="0">
                  <c:v>1726.52</c:v>
                </c:pt>
                <c:pt idx="1">
                  <c:v>2066.09</c:v>
                </c:pt>
              </c:numCache>
            </c:numRef>
          </c:val>
        </c:ser>
        <c:dLbls>
          <c:showLegendKey val="0"/>
          <c:showVal val="0"/>
          <c:showCatName val="0"/>
          <c:showSerName val="0"/>
          <c:showPercent val="0"/>
          <c:showBubbleSize val="0"/>
        </c:dLbls>
        <c:gapWidth val="150"/>
        <c:axId val="76941184"/>
        <c:axId val="76942720"/>
      </c:barChart>
      <c:catAx>
        <c:axId val="7694118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6942720"/>
        <c:crosses val="autoZero"/>
        <c:auto val="1"/>
        <c:lblAlgn val="ctr"/>
        <c:lblOffset val="100"/>
        <c:noMultiLvlLbl val="0"/>
      </c:catAx>
      <c:valAx>
        <c:axId val="7694272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6941184"/>
        <c:crosses val="autoZero"/>
        <c:crossBetween val="between"/>
      </c:valAx>
    </c:plotArea>
    <c:legend>
      <c:legendPos val="r"/>
      <c:layout>
        <c:manualLayout>
          <c:xMode val="edge"/>
          <c:yMode val="edge"/>
          <c:x val="0.81577866106468"/>
          <c:y val="0.504728242303046"/>
          <c:w val="0.16886625256296"/>
          <c:h val="0.127686039245094"/>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本年收入（万元）</c:v>
                </c:pt>
              </c:strCache>
            </c:strRef>
          </c:tx>
          <c:explosion val="0"/>
          <c:dPt>
            <c:idx val="0"/>
            <c:bubble3D val="0"/>
          </c:dPt>
          <c:dPt>
            <c:idx val="1"/>
            <c:bubble3D val="0"/>
          </c:dPt>
          <c:dLbls>
            <c:delete val="1"/>
          </c:dLbls>
          <c:cat>
            <c:strRef>
              <c:f>Sheet1!$A$2:$A$3</c:f>
              <c:strCache>
                <c:ptCount val="2"/>
                <c:pt idx="0">
                  <c:v>一般公共预算财政拨款收入</c:v>
                </c:pt>
                <c:pt idx="1">
                  <c:v>其他收入</c:v>
                </c:pt>
              </c:strCache>
            </c:strRef>
          </c:cat>
          <c:val>
            <c:numRef>
              <c:f>Sheet1!$B$2:$B$3</c:f>
              <c:numCache>
                <c:formatCode>General</c:formatCode>
                <c:ptCount val="2"/>
                <c:pt idx="0">
                  <c:v>1441.44</c:v>
                </c:pt>
                <c:pt idx="1">
                  <c:v>298.18</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本年支出（万元）</c:v>
                </c:pt>
              </c:strCache>
            </c:strRef>
          </c:tx>
          <c:explosion val="0"/>
          <c:dPt>
            <c:idx val="0"/>
            <c:bubble3D val="0"/>
          </c:dPt>
          <c:dPt>
            <c:idx val="1"/>
            <c:bubble3D val="0"/>
          </c:dPt>
          <c:dPt>
            <c:idx val="2"/>
            <c:bubble3D val="0"/>
          </c:dPt>
          <c:dPt>
            <c:idx val="3"/>
            <c:bubble3D val="0"/>
          </c:dPt>
          <c:dPt>
            <c:idx val="4"/>
            <c:bubble3D val="0"/>
          </c:dPt>
          <c:dLbls>
            <c:delete val="1"/>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1410.27</c:v>
                </c:pt>
                <c:pt idx="1">
                  <c:v>247.02</c:v>
                </c:pt>
                <c:pt idx="2">
                  <c:v>0</c:v>
                </c:pt>
                <c:pt idx="3">
                  <c:v>0</c:v>
                </c:pt>
                <c:pt idx="4">
                  <c:v>0</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财政拨款收支总计（万元）</c:v>
                </c:pt>
              </c:strCache>
            </c:strRef>
          </c:tx>
          <c:invertIfNegative val="0"/>
          <c:dLbls>
            <c:delete val="1"/>
          </c:dLbls>
          <c:cat>
            <c:strRef>
              <c:f>Sheet1!$A$2:$A$3</c:f>
              <c:strCache>
                <c:ptCount val="2"/>
                <c:pt idx="0">
                  <c:v>2017年</c:v>
                </c:pt>
                <c:pt idx="1">
                  <c:v>2018年</c:v>
                </c:pt>
              </c:strCache>
            </c:strRef>
          </c:cat>
          <c:val>
            <c:numRef>
              <c:f>Sheet1!$B$2:$B$3</c:f>
              <c:numCache>
                <c:formatCode>General</c:formatCode>
                <c:ptCount val="2"/>
                <c:pt idx="0">
                  <c:v>1709.77</c:v>
                </c:pt>
                <c:pt idx="1">
                  <c:v>1767.92</c:v>
                </c:pt>
              </c:numCache>
            </c:numRef>
          </c:val>
        </c:ser>
        <c:dLbls>
          <c:showLegendKey val="0"/>
          <c:showVal val="0"/>
          <c:showCatName val="0"/>
          <c:showSerName val="0"/>
          <c:showPercent val="0"/>
          <c:showBubbleSize val="0"/>
        </c:dLbls>
        <c:gapWidth val="150"/>
        <c:axId val="44159360"/>
        <c:axId val="44160896"/>
      </c:barChart>
      <c:catAx>
        <c:axId val="44159360"/>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4160896"/>
        <c:crosses val="autoZero"/>
        <c:auto val="1"/>
        <c:lblAlgn val="ctr"/>
        <c:lblOffset val="100"/>
        <c:noMultiLvlLbl val="0"/>
      </c:catAx>
      <c:valAx>
        <c:axId val="4416089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4159360"/>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一般公共预算财政拨款支出（万元）</c:v>
                </c:pt>
              </c:strCache>
            </c:strRef>
          </c:tx>
          <c:invertIfNegative val="0"/>
          <c:dLbls>
            <c:delete val="1"/>
          </c:dLbls>
          <c:cat>
            <c:strRef>
              <c:f>Sheet1!$A$2:$A$3</c:f>
              <c:strCache>
                <c:ptCount val="2"/>
                <c:pt idx="0">
                  <c:v>2017年</c:v>
                </c:pt>
                <c:pt idx="1">
                  <c:v>2018年</c:v>
                </c:pt>
              </c:strCache>
            </c:strRef>
          </c:cat>
          <c:val>
            <c:numRef>
              <c:f>Sheet1!$B$2:$B$3</c:f>
              <c:numCache>
                <c:formatCode>General</c:formatCode>
                <c:ptCount val="2"/>
                <c:pt idx="0">
                  <c:v>1353.18</c:v>
                </c:pt>
                <c:pt idx="1">
                  <c:v>1359.11</c:v>
                </c:pt>
              </c:numCache>
            </c:numRef>
          </c:val>
        </c:ser>
        <c:dLbls>
          <c:showLegendKey val="0"/>
          <c:showVal val="0"/>
          <c:showCatName val="0"/>
          <c:showSerName val="0"/>
          <c:showPercent val="0"/>
          <c:showBubbleSize val="0"/>
        </c:dLbls>
        <c:gapWidth val="150"/>
        <c:axId val="84019072"/>
        <c:axId val="84020608"/>
      </c:barChart>
      <c:catAx>
        <c:axId val="8401907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4020608"/>
        <c:crosses val="autoZero"/>
        <c:auto val="1"/>
        <c:lblAlgn val="ctr"/>
        <c:lblOffset val="100"/>
        <c:noMultiLvlLbl val="0"/>
      </c:catAx>
      <c:valAx>
        <c:axId val="8402060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4019072"/>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一般公共财政拨款支出（万元）</c:v>
                </c:pt>
              </c:strCache>
            </c:strRef>
          </c:tx>
          <c:explosion val="0"/>
          <c:dPt>
            <c:idx val="0"/>
            <c:bubble3D val="0"/>
          </c:dPt>
          <c:dPt>
            <c:idx val="1"/>
            <c:bubble3D val="0"/>
          </c:dPt>
          <c:dPt>
            <c:idx val="2"/>
            <c:bubble3D val="0"/>
          </c:dPt>
          <c:dPt>
            <c:idx val="3"/>
            <c:bubble3D val="0"/>
          </c:dPt>
          <c:dLbls>
            <c:delete val="1"/>
          </c:dLbls>
          <c:cat>
            <c:strRef>
              <c:f>Sheet1!$A$2:$A$5</c:f>
              <c:strCache>
                <c:ptCount val="4"/>
                <c:pt idx="0">
                  <c:v>一般公共服务类支出</c:v>
                </c:pt>
                <c:pt idx="1">
                  <c:v>社会保障和就业类支出</c:v>
                </c:pt>
                <c:pt idx="2">
                  <c:v>医疗卫生与计划生育支出</c:v>
                </c:pt>
                <c:pt idx="3">
                  <c:v>住房保障支出</c:v>
                </c:pt>
              </c:strCache>
            </c:strRef>
          </c:cat>
          <c:val>
            <c:numRef>
              <c:f>Sheet1!$B$2:$B$5</c:f>
              <c:numCache>
                <c:formatCode>General</c:formatCode>
                <c:ptCount val="4"/>
                <c:pt idx="0">
                  <c:v>1146.78</c:v>
                </c:pt>
                <c:pt idx="1">
                  <c:v>100.58</c:v>
                </c:pt>
                <c:pt idx="2">
                  <c:v>37.66</c:v>
                </c:pt>
                <c:pt idx="3">
                  <c:v>74.09</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“三公”经费（万元）</c:v>
                </c:pt>
              </c:strCache>
            </c:strRef>
          </c:tx>
          <c:explosion val="0"/>
          <c:dPt>
            <c:idx val="0"/>
            <c:bubble3D val="0"/>
          </c:dPt>
          <c:dPt>
            <c:idx val="1"/>
            <c:bubble3D val="0"/>
          </c:dPt>
          <c:dPt>
            <c:idx val="2"/>
            <c:bubble3D val="0"/>
          </c:dPt>
          <c:dLbls>
            <c:delete val="1"/>
          </c:dLbls>
          <c:cat>
            <c:strRef>
              <c:f>Sheet1!$A$2:$A$4</c:f>
              <c:strCache>
                <c:ptCount val="3"/>
                <c:pt idx="0">
                  <c:v>公务用车购置及运行维护费</c:v>
                </c:pt>
                <c:pt idx="1">
                  <c:v>公务接待费</c:v>
                </c:pt>
                <c:pt idx="2">
                  <c:v>因公出国费</c:v>
                </c:pt>
              </c:strCache>
            </c:strRef>
          </c:cat>
          <c:val>
            <c:numRef>
              <c:f>Sheet1!$B$2:$B$4</c:f>
              <c:numCache>
                <c:formatCode>General</c:formatCode>
                <c:ptCount val="3"/>
                <c:pt idx="0">
                  <c:v>12.75</c:v>
                </c:pt>
                <c:pt idx="1">
                  <c:v>2.1</c:v>
                </c:pt>
                <c:pt idx="2">
                  <c:v>0</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0A629BC-B470-49DF-83FB-88EC48C5D7A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40</Pages>
  <Words>15161</Words>
  <Characters>15928</Characters>
  <Lines>27</Lines>
  <Paragraphs>36</Paragraphs>
  <TotalTime>9721</TotalTime>
  <ScaleCrop>false</ScaleCrop>
  <LinksUpToDate>false</LinksUpToDate>
  <CharactersWithSpaces>16005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2019-09-10T08:22:00Z</dcterms:created>
  <dc:creator>张彬茜</dc:creator>
  <cp:lastModifiedBy>市司法局办公室</cp:lastModifiedBy>
  <cp:lastPrinted>2019-08-01T00:48:00Z</cp:lastPrinted>
  <dcterms:modified xsi:type="dcterms:W3CDTF">2023-07-14T09:29:25Z</dcterms:modified>
  <dc:title>四川省***</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8627E3C83A9141A3B718F6405BE93F89_12</vt:lpwstr>
  </property>
</Properties>
</file>