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遂宁市法治政府建设实施方案（2021-2025年）</w:t>
      </w:r>
    </w:p>
    <w:p>
      <w:pPr>
        <w:pStyle w:val="2"/>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法治政府建设是全面依法治国的重点任务和主体工程，是推进国家治理体系和治理能力现代化的重要支撑。为在新发展阶段持续深入推进依法行政，</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为遂宁筑“三城”兴“三都”、升腾“成渝之星”提供法治保障，</w:t>
      </w:r>
      <w:r>
        <w:rPr>
          <w:rFonts w:hint="eastAsia" w:ascii="仿宋_GB2312" w:hAnsi="仿宋_GB2312" w:eastAsia="仿宋_GB2312" w:cs="仿宋_GB2312"/>
          <w:b w:val="0"/>
          <w:bCs w:val="0"/>
          <w:color w:val="000000" w:themeColor="text1"/>
          <w:sz w:val="32"/>
          <w:szCs w:val="32"/>
          <w14:textFill>
            <w14:solidFill>
              <w14:schemeClr w14:val="tx1"/>
            </w14:solidFill>
          </w14:textFill>
        </w:rPr>
        <w:t>根据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法治政府建设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实施纲要（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2021-2025年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3号</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）和《四川省法治政府建设实施方案（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2021-2025年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）》（川委发〔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23号</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，制定本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实施方案</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总体要求</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深入贯彻落实习近平法治思想，坚持党对法治政府建设的全面领导，切实解决党和政府高度关注、人民群众反映强烈、制约法治政府建设的突出问题，全面建设职能科学、权责法定、执法严明、公开公正、智能高效、廉洁诚信、人民满意的法治政府。到2025年，政府行为全面纳入法治轨道，</w:t>
      </w:r>
      <w:r>
        <w:rPr>
          <w:rFonts w:hint="eastAsia" w:ascii="仿宋_GB2312" w:hAnsi="仿宋_GB2312" w:eastAsia="仿宋_GB2312" w:cs="仿宋_GB2312"/>
          <w:b w:val="0"/>
          <w:bCs w:val="0"/>
          <w:color w:val="000000" w:themeColor="text1"/>
          <w:sz w:val="32"/>
          <w:szCs w:val="32"/>
          <w14:textFill>
            <w14:solidFill>
              <w14:schemeClr w14:val="tx1"/>
            </w14:solidFill>
          </w14:textFill>
        </w:rPr>
        <w:t>政府职能更加科学合理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行政决策水平显著提高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法治化营商环境持续优化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行政执法质量和效能大幅提升，突发事件应对能力显著增强，</w:t>
      </w:r>
      <w:bookmarkStart w:id="0" w:name="_GoBack"/>
      <w:bookmarkEnd w:id="0"/>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政府治理信息化与法治化深度融合，人民群众的法治获得感和满意度不断提升，</w:t>
      </w:r>
      <w:r>
        <w:rPr>
          <w:rFonts w:hint="eastAsia" w:ascii="仿宋_GB2312" w:hAnsi="仿宋_GB2312" w:eastAsia="仿宋_GB2312" w:cs="仿宋_GB2312"/>
          <w:b w:val="0"/>
          <w:bCs w:val="0"/>
          <w:color w:val="000000" w:themeColor="text1"/>
          <w:sz w:val="32"/>
          <w:szCs w:val="32"/>
          <w14:textFill>
            <w14:solidFill>
              <w14:schemeClr w14:val="tx1"/>
            </w14:solidFill>
          </w14:textFill>
        </w:rPr>
        <w:t>依法化解纠纷能力显著增强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法治政府建设在全面依法治市进程中</w:t>
      </w:r>
      <w:r>
        <w:rPr>
          <w:rFonts w:hint="eastAsia" w:ascii="仿宋_GB2312" w:hAnsi="仿宋_GB2312" w:eastAsia="仿宋_GB2312" w:cs="仿宋_GB2312"/>
          <w:b w:val="0"/>
          <w:bCs w:val="0"/>
          <w:color w:val="000000" w:themeColor="text1"/>
          <w:sz w:val="32"/>
          <w:szCs w:val="32"/>
          <w14:textFill>
            <w14:solidFill>
              <w14:schemeClr w14:val="tx1"/>
            </w14:solidFill>
          </w14:textFill>
        </w:rPr>
        <w:t>率先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取得</w:t>
      </w:r>
      <w:r>
        <w:rPr>
          <w:rFonts w:hint="eastAsia" w:ascii="仿宋_GB2312" w:hAnsi="仿宋_GB2312" w:eastAsia="仿宋_GB2312" w:cs="仿宋_GB2312"/>
          <w:b w:val="0"/>
          <w:bCs w:val="0"/>
          <w:color w:val="000000" w:themeColor="text1"/>
          <w:sz w:val="32"/>
          <w:szCs w:val="32"/>
          <w14:textFill>
            <w14:solidFill>
              <w14:schemeClr w14:val="tx1"/>
            </w14:solidFill>
          </w14:textFill>
        </w:rPr>
        <w:t>突破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为到2035年基本建成法治国家、法治政府、法治社会奠定坚实基础。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w:t>
      </w:r>
      <w:r>
        <w:rPr>
          <w:rFonts w:hint="eastAsia" w:ascii="黑体" w:hAnsi="黑体" w:eastAsia="黑体" w:cs="黑体"/>
          <w:b w:val="0"/>
          <w:bCs w:val="0"/>
          <w:color w:val="000000" w:themeColor="text1"/>
          <w:sz w:val="32"/>
          <w:szCs w:val="32"/>
          <w:lang w:eastAsia="zh-CN"/>
          <w14:textFill>
            <w14:solidFill>
              <w14:schemeClr w14:val="tx1"/>
            </w14:solidFill>
          </w14:textFill>
        </w:rPr>
        <w:t>工作任务</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健全政府机构职能体系，推动更好发挥政府作用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优化政府职能。认真履行政府经济调节、市场监管、社会管理、公共服务、生态环境保护等职能，</w:t>
      </w:r>
      <w:r>
        <w:rPr>
          <w:rFonts w:hint="eastAsia" w:ascii="仿宋_GB2312" w:hAnsi="仿宋_GB2312" w:eastAsia="仿宋_GB2312" w:cs="仿宋_GB2312"/>
          <w:b w:val="0"/>
          <w:bCs w:val="0"/>
          <w:color w:val="000000" w:themeColor="text1"/>
          <w:sz w:val="32"/>
          <w:szCs w:val="32"/>
          <w14:textFill>
            <w14:solidFill>
              <w14:schemeClr w14:val="tx1"/>
            </w14:solidFill>
          </w14:textFill>
        </w:rPr>
        <w:t>厘清政府和市场、政府和社会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关系，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加快推进机构职能、权限、程序、责任法定化，</w:t>
      </w:r>
      <w:r>
        <w:rPr>
          <w:rFonts w:hint="eastAsia" w:ascii="仿宋_GB2312" w:hAnsi="仿宋_GB2312" w:eastAsia="仿宋_GB2312" w:cs="仿宋_GB2312"/>
          <w:b w:val="0"/>
          <w:bCs w:val="0"/>
          <w:color w:val="000000" w:themeColor="text1"/>
          <w:sz w:val="32"/>
          <w:szCs w:val="32"/>
          <w14:textFill>
            <w14:solidFill>
              <w14:schemeClr w14:val="tx1"/>
            </w14:solidFill>
          </w14:textFill>
        </w:rPr>
        <w:t>推动有效市场和有为政府更好结合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。强化制定实施发展战略、规划、政策、标准等职能，更加注重运用法律和制度遏制不当干预微观经济活动的行为。承接好上级政府依法赋予的行政职权事项。</w:t>
      </w:r>
      <w:r>
        <w:rPr>
          <w:rFonts w:hint="eastAsia" w:ascii="仿宋_GB2312" w:hAnsi="仿宋_GB2312" w:eastAsia="仿宋_GB2312" w:cs="仿宋_GB2312"/>
          <w:b w:val="0"/>
          <w:bCs w:val="0"/>
          <w:color w:val="000000" w:themeColor="text1"/>
          <w:sz w:val="32"/>
          <w:szCs w:val="32"/>
          <w14:textFill>
            <w14:solidFill>
              <w14:schemeClr w14:val="tx1"/>
            </w14:solidFill>
          </w14:textFill>
        </w:rPr>
        <w:t>推进编制资源向基层倾斜，鼓励、支持从上往下跨层级调剂使用行政和事业编制。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市政府办公室、</w:t>
      </w:r>
      <w:r>
        <w:rPr>
          <w:rFonts w:hint="eastAsia" w:ascii="仿宋_GB2312" w:hAnsi="仿宋_GB2312" w:eastAsia="仿宋_GB2312" w:cs="仿宋_GB2312"/>
          <w:b w:val="0"/>
          <w:bCs w:val="0"/>
          <w:color w:val="000000" w:themeColor="text1"/>
          <w:sz w:val="32"/>
          <w:szCs w:val="32"/>
          <w14:textFill>
            <w14:solidFill>
              <w14:schemeClr w14:val="tx1"/>
            </w14:solidFill>
          </w14:textFill>
        </w:rPr>
        <w:t>市委编办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等按职责分工负责，下同）</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深化权责</w:t>
      </w:r>
      <w:r>
        <w:rPr>
          <w:rFonts w:hint="eastAsia" w:ascii="仿宋_GB2312" w:hAnsi="仿宋_GB2312" w:eastAsia="仿宋_GB2312" w:cs="仿宋_GB2312"/>
          <w:b w:val="0"/>
          <w:bCs w:val="0"/>
          <w:color w:val="000000" w:themeColor="text1"/>
          <w:sz w:val="32"/>
          <w:szCs w:val="32"/>
          <w14:textFill>
            <w14:solidFill>
              <w14:schemeClr w14:val="tx1"/>
            </w14:solidFill>
          </w14:textFill>
        </w:rPr>
        <w:t>清单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落实《四川省权责清单管理办法》，制定《遂宁市权责清单管理办法》，依法完善、动态调整、持续优化政府部门权责清单，加快推进权力清单、责任清单“两单”融合。依托全省一体化政务服务平台，完善权责事项管理系统。（</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责任单位：市委编办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精简规范行政许可。</w:t>
      </w:r>
      <w:r>
        <w:rPr>
          <w:rFonts w:hint="eastAsia" w:ascii="仿宋_GB2312" w:hAnsi="仿宋_GB2312" w:eastAsia="仿宋_GB2312" w:cs="仿宋_GB2312"/>
          <w:b w:val="0"/>
          <w:bCs w:val="0"/>
          <w:color w:val="000000" w:themeColor="text1"/>
          <w:sz w:val="32"/>
          <w:szCs w:val="32"/>
          <w14:textFill>
            <w14:solidFill>
              <w14:schemeClr w14:val="tx1"/>
            </w14:solidFill>
          </w14:textFill>
        </w:rPr>
        <w:t>严格执行市场准入负面清单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制度</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普遍落实“非禁即入”。持续深化行政审批制度改革，进一步精简各类资格资质行政许可事项，降低准入门槛，</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坚决防止以</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备案、登记、行政确认、征求意见等方式变相设置行政许可事项。进一步压减中介服务事项，切实为企业减负。</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责任单位：市政务服务和大数据局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市委编办、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市发展改革委、市商务局、市市场监管局等</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深化</w:t>
      </w:r>
      <w:r>
        <w:rPr>
          <w:rFonts w:hint="eastAsia" w:ascii="仿宋_GB2312" w:hAnsi="仿宋_GB2312" w:eastAsia="仿宋_GB2312" w:cs="仿宋_GB2312"/>
          <w:b w:val="0"/>
          <w:bCs w:val="0"/>
          <w:color w:val="000000" w:themeColor="text1"/>
          <w:sz w:val="32"/>
          <w:szCs w:val="32"/>
          <w14:textFill>
            <w14:solidFill>
              <w14:schemeClr w14:val="tx1"/>
            </w14:solidFill>
          </w14:textFill>
        </w:rPr>
        <w:t>“证照分离”改革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按照直接取消审批、审批改为备案、实行告知承诺、优化审批服务等四种方式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分类推进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“证照分离”</w:t>
      </w:r>
      <w:r>
        <w:rPr>
          <w:rFonts w:hint="eastAsia" w:ascii="仿宋_GB2312" w:hAnsi="仿宋_GB2312" w:eastAsia="仿宋_GB2312" w:cs="仿宋_GB2312"/>
          <w:b w:val="0"/>
          <w:bCs w:val="0"/>
          <w:color w:val="000000" w:themeColor="text1"/>
          <w:sz w:val="32"/>
          <w:szCs w:val="32"/>
          <w14:textFill>
            <w14:solidFill>
              <w14:schemeClr w14:val="tx1"/>
            </w14:solidFill>
          </w14:textFill>
        </w:rPr>
        <w:t>改革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实现涉企经营许可事项“清单之外无审批”。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积极推进“一业一证”改革。</w:t>
      </w:r>
      <w:r>
        <w:rPr>
          <w:rFonts w:hint="eastAsia" w:ascii="仿宋_GB2312" w:hAnsi="仿宋_GB2312" w:eastAsia="仿宋_GB2312" w:cs="仿宋_GB2312"/>
          <w:b w:val="0"/>
          <w:bCs w:val="0"/>
          <w:color w:val="000000" w:themeColor="text1"/>
          <w:sz w:val="32"/>
          <w:szCs w:val="32"/>
          <w14:textFill>
            <w14:solidFill>
              <w14:schemeClr w14:val="tx1"/>
            </w14:solidFill>
          </w14:textFill>
        </w:rPr>
        <w:t>加快推进电子证照归集运用，2022年底前全面实现涉企证照电子化。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责任单位：市市场监管局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全面</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落实</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告知承诺制</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。推行</w:t>
      </w:r>
      <w:r>
        <w:rPr>
          <w:rFonts w:hint="eastAsia" w:ascii="仿宋_GB2312" w:hAnsi="仿宋_GB2312" w:eastAsia="仿宋_GB2312" w:cs="仿宋_GB2312"/>
          <w:b w:val="0"/>
          <w:bCs w:val="0"/>
          <w:i w:val="0"/>
          <w:iCs w:val="0"/>
          <w:color w:val="000000" w:themeColor="text1"/>
          <w:kern w:val="0"/>
          <w:sz w:val="32"/>
          <w:szCs w:val="32"/>
          <w:lang w:eastAsia="zh-CN"/>
          <w14:textFill>
            <w14:solidFill>
              <w14:schemeClr w14:val="tx1"/>
            </w14:solidFill>
          </w14:textFill>
        </w:rPr>
        <w:t>证明事项</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和涉企经营许可事项告知承诺制，明确实行告知承诺制的事项范围、适用对象、办理流程和监管措施。加强告知承诺信用管理制度建设，依法加大失信惩戒力度。持续做好证明事项清理工作</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责任单位：市司法局、市政务服务和大数据局、市市场监管局等</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强化</w:t>
      </w:r>
      <w:r>
        <w:rPr>
          <w:rFonts w:hint="eastAsia" w:ascii="仿宋_GB2312" w:hAnsi="仿宋_GB2312" w:eastAsia="仿宋_GB2312" w:cs="仿宋_GB2312"/>
          <w:b w:val="0"/>
          <w:bCs w:val="0"/>
          <w:color w:val="000000" w:themeColor="text1"/>
          <w:sz w:val="32"/>
          <w:szCs w:val="32"/>
          <w14:textFill>
            <w14:solidFill>
              <w14:schemeClr w14:val="tx1"/>
            </w14:solidFill>
          </w14:textFill>
        </w:rPr>
        <w:t>“双随机、一公开”监管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根据不同领域特点和风险程度，制定年度监管计划和涉企现场检查事项清单，加强对疫苗、药品、特种设备、危险化学品等重点领域监管。除有法定依据外，严禁各级政府采取要求特定区域或者行业、领域的市场主体普遍停产停业的措施。（责任单位：市经济和信息化局、市市场监管局、市应急局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推进社会信用监管。建设全市公共信用信息共享交换体系，推动建设社会信用信息管理平台（二期），增加信用信息应用场景，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2023年实现与企业信用信息公示和部门信用信息数据共享</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。建立健全信用修复、异议申诉机制，依法依规开展守信联合激励和失信联合惩戒，为守信者提供便利政策。（责任单位：市发展改革委、市市场监管局、市政务服务和大数据局、人行市中心支行等）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实施</w:t>
      </w:r>
      <w:r>
        <w:rPr>
          <w:rFonts w:hint="eastAsia" w:ascii="仿宋_GB2312" w:hAnsi="仿宋_GB2312" w:eastAsia="仿宋_GB2312" w:cs="仿宋_GB2312"/>
          <w:b w:val="0"/>
          <w:bCs w:val="0"/>
          <w:color w:val="000000" w:themeColor="text1"/>
          <w:sz w:val="32"/>
          <w:szCs w:val="32"/>
          <w14:textFill>
            <w14:solidFill>
              <w14:schemeClr w14:val="tx1"/>
            </w14:solidFill>
          </w14:textFill>
        </w:rPr>
        <w:t>包容审慎监管。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按照鼓励创新原则，对新技术、新产业、新业态、新模式“四新”经济实行包容审慎监管，根据性质、特点分类制定监管规则和标准，防止简单化予以禁止或者放任不予监管。（责任单位：市经济和信息化局、市交通运输局、市商务局、市市场监管局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9.加快推进“最多跑一次”改革。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实现各部门业务系统与一体化政务服务平台对接，一体化政务服务平台基础配置实名认证率100%。围绕“一网通办”优化再造政务服务事项服务流程，逐项制定线上线下“一件事”办理参考流程，统一服务对象、受理条件、申请材料等要素，推出一批“一件事一次办”实景应用落地。</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推行“街镇受理—部门办理—街镇出证”服务模式，将更多资源、服务、管理下沉到基层，推动更多政务服务事项在街道（乡镇）办理。</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责任单位：市政府办公室、市政务服务和大数据局等</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14:textFill>
            <w14:solidFill>
              <w14:schemeClr w14:val="tx1"/>
            </w14:solidFill>
          </w14:textFill>
        </w:rPr>
        <w:t>加快推进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政务通办。</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发挥政务服务大厅“一站式”服务功能，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加快推进</w:t>
      </w:r>
      <w:r>
        <w:rPr>
          <w:rFonts w:hint="eastAsia" w:ascii="仿宋_GB2312" w:hAnsi="仿宋_GB2312" w:eastAsia="仿宋_GB2312" w:cs="仿宋_GB2312"/>
          <w:b w:val="0"/>
          <w:bCs w:val="0"/>
          <w:color w:val="000000" w:themeColor="text1"/>
          <w:sz w:val="32"/>
          <w:szCs w:val="32"/>
          <w14:textFill>
            <w14:solidFill>
              <w14:schemeClr w14:val="tx1"/>
            </w14:solidFill>
          </w14:textFill>
        </w:rPr>
        <w:t>居住、就业、婚姻、生育、子女入学、社保、养老等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高频服务事项“全市通办”“就近可办”“遂潼通办”。推行线上“全程网办”、线下“异地代收代办”，统一业务规则和标准，实现同一事项在不同地区无差别受理、同标准办理，满足各类市场主体和广大人民群众异地办事需求。（责任单位：市政务服务和大数据局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推进适老化政务服务。坚持传统服务和智能创新相结合，将</w:t>
      </w:r>
      <w:r>
        <w:rPr>
          <w:rFonts w:hint="eastAsia" w:ascii="仿宋_GB2312" w:hAnsi="仿宋_GB2312" w:eastAsia="仿宋_GB2312" w:cs="仿宋_GB2312"/>
          <w:b w:val="0"/>
          <w:bCs w:val="0"/>
          <w:color w:val="000000" w:themeColor="text1"/>
          <w:sz w:val="32"/>
          <w:szCs w:val="32"/>
          <w14:textFill>
            <w14:solidFill>
              <w14:schemeClr w14:val="tx1"/>
            </w14:solidFill>
          </w14:textFill>
        </w:rPr>
        <w:t>老年人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的出行、就医、消费等高频服务事项下沉至社区，推进政务服务适老化改造。制定有效运用智能技术措施，解决老年人运用智能技术难题</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助力老年人共享数字政务成果</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（责任单位：市政务服务和大数据局、市交通运输局、市卫生健康委等）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12.维护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公平竞争市场秩序。</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强化公平竞争审查制度刚性约束，推进公平竞争审查与合法性审核有效衔接，及时清理废除工程建设、产业补贴、招投标、政府采购等领域妨碍统一市场和公平竞争的规定和做法，打破各类隐性门槛，</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依法保护各类市场主体公平参与竞争的权利</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。加大反垄断法和反不正当竞争法宣传，增强市场主体的合规经营意识。严肃查处竞争违法行为并公布典型案例。（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责任单位：市发展改革委、</w:t>
      </w:r>
      <w:r>
        <w:rPr>
          <w:rFonts w:hint="eastAsia" w:ascii="仿宋_GB2312" w:hAnsi="仿宋_GB2312" w:eastAsia="仿宋_GB2312" w:cs="仿宋_GB2312"/>
          <w:b w:val="0"/>
          <w:bCs w:val="0"/>
          <w:color w:val="000000" w:themeColor="text1"/>
          <w:sz w:val="32"/>
          <w:szCs w:val="32"/>
          <w14:textFill>
            <w14:solidFill>
              <w14:schemeClr w14:val="tx1"/>
            </w14:solidFill>
          </w14:textFill>
        </w:rPr>
        <w:t>市市场监管局、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市司法局、市财政局、市商务局等</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13.</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依法保护</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企业合法权益。依法平等保护各类市场主体产权和自主经营权，加大知识产权保护和侵权惩治力度，完善知识产权维权援助协作机制和服务网络。支持各类社会组织开展知识产权涉外风险防控体系建设。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健全完善常态化政企沟通机制，在制定修改地方性法规、政府规章和行政规范性文件过程中充分听取企业和行业协会商会意见。完善外商投资投诉协调工作机制，保护外商投资合法权益。（责任单位：市发展改革委、市经济和信息化局、市市场监管局、市经济合作局、市司法局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14.完善公共法律服务体系。均衡配置城乡法律服务资源，推动城镇法律服务资源向农村地区辐射，不断壮大法律服务机构和人员队伍。推动公共法律服务实体、热线、网络三大平台融合发展。加强乡村振兴法律服务供给，完善村（居）法律顾问工作考核、评价等工作制度。落实《法律援助法》，做到应援尽援，充分保障未成年人、妇女、农民工等特殊群体的基本公共法律服务权益。创新普法形式，大力推进“法律七进”，深入开展“民主法治示范村（社区）”创建，推进乡村“法律明白人”培养和农村学法用法示范户培育。</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（责任单位：市司法局、市农业农村局、市财政局等）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（二）健全依法行政制度体系，加快推进政府治理规范化程序化法治化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15.</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加强重点领域立法。科学制定立法计划，围绕城乡建设与管理、环境保护、历史文化保护三个方面，聚焦市域社会治理和生态环境保护等重点领域，坚持“小切入、大纵深”，从海绵城市建设、生活垃圾处理、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农贸市场管理、饮用水源保护、</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社区发展治理等方面入手，以法规条文构建协调顺畅的监管机制，助推精准化社会治理。（责任单位：市司法局、有法规规章草案起草职责的市直有关部门）</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16.</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提高立法质量。坚持科学立法、民主立法、依法立法，推进政府立法全流程规范化管理。建立健全政府立法评估制度，规范立法评估的实施主体、程序步骤和报告内容。完善立法项目立项论证制度，持续开展立法前必要性、可行性评估。对立法涉及的重大利益调整事项加强论证咨询，对争议较大的引入第三方评估。建立健全立法风险防范机制，将风险评估贯穿立法全过程。定期清理政府规章，定期开展立法后评估，坚持立改废释并举。（责任单位：市司法局、有法规规章草案起草职责的市直有关部门）</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17.拓宽公众参与途径。强化基层行政立法联系点制度建设，多方位、多渠道听取基层群众对政府立法工作的意见建议。完善政府立法智库建设，组建立法专家库，与高等法律院校、律师事务所等法律服务机构在项目论证、理论研究、人才培养、立法后评估等方面开展合作。对涉及企业生产、经营活动的立法草案，专门听取企业和行业协会商会的意见建议。建立意见建议沟通反馈机制，对反映集中的热点问题，及时反馈意见建议采纳情况。（责任单位：市司法局、有法规规章草案起草职责的市直有关部门）</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18.加强政府立法工作协调。完善人大与政府间的立法沟通协调机制，在立法计划的编制、立法项目的时序安排、法规审议修改等方面加强沟通协调。探索相邻市州开展涪江、琼江保护等跨区域协同立法。（责任单位：市司法局、有法规规章草案起草职责的市直有关部门）</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19.加强规范性文件管理。凡法律法规规章和上级文件已作出明确规定，或现行文件已有部署且仍然适用的，一律不发行政规范性文件。加强制定主体清单管理，各类临时机构、议事协调机构、工作部门内设机构和派出机构不得制定行政规范性文件。建立健全行政规范性文件制定协调机制，防止政出多门、政策效应相互抵消。常态化开展行政规范性文件清理。落实行政规范性文件有效期制度，有效期满后需继续执行的，按程序重新发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（责任单位：市政府办公室、市司法局等）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加强合法性审核。精准认定行政规范性文件，明确审核范围、细化审核要点、统一审核标准、强化审核责任，实现合法性审核全覆盖。起草部门严格履行合法性审核初审职责。充分发挥法律顾问、专家协助审查作用，不断提升工作质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责任单位：市政府办公室、市司法局、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制定规范性文件的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市直有关</w:t>
      </w:r>
      <w:r>
        <w:rPr>
          <w:rFonts w:hint="eastAsia" w:ascii="仿宋_GB2312" w:hAnsi="仿宋_GB2312" w:eastAsia="仿宋_GB2312" w:cs="仿宋_GB2312"/>
          <w:b w:val="0"/>
          <w:bCs w:val="0"/>
          <w:color w:val="000000" w:themeColor="text1"/>
          <w:sz w:val="32"/>
          <w:szCs w:val="32"/>
          <w14:textFill>
            <w14:solidFill>
              <w14:schemeClr w14:val="tx1"/>
            </w14:solidFill>
          </w14:textFill>
        </w:rPr>
        <w:t>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pacing w:val="-13"/>
          <w:sz w:val="32"/>
          <w:szCs w:val="32"/>
          <w:lang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21.严格落实备案审查。政府规章、行政规范性文件要按照规定程序和时限报送备案，实现报备率、及时率、规范率100%。加强备案登记审查，对审查中发现的问题采取适当方式予以通报并责令整改，</w:t>
      </w:r>
      <w:r>
        <w:rPr>
          <w:rFonts w:hint="eastAsia" w:ascii="仿宋_GB2312" w:hAnsi="仿宋_GB2312" w:eastAsia="仿宋_GB2312" w:cs="仿宋_GB2312"/>
          <w:b w:val="0"/>
          <w:bCs w:val="0"/>
          <w:color w:val="000000" w:themeColor="text1"/>
          <w:spacing w:val="-13"/>
          <w:sz w:val="32"/>
          <w:szCs w:val="32"/>
          <w:lang w:bidi="ar-SA"/>
          <w14:textFill>
            <w14:solidFill>
              <w14:schemeClr w14:val="tx1"/>
            </w14:solidFill>
          </w14:textFill>
        </w:rPr>
        <w:t>确保“有件必备、有错必纠”。</w:t>
      </w:r>
      <w:r>
        <w:rPr>
          <w:rFonts w:hint="eastAsia" w:ascii="仿宋_GB2312" w:hAnsi="仿宋_GB2312" w:eastAsia="仿宋_GB2312" w:cs="仿宋_GB2312"/>
          <w:b w:val="0"/>
          <w:bCs w:val="0"/>
          <w:color w:val="000000" w:themeColor="text1"/>
          <w:spacing w:val="-13"/>
          <w:sz w:val="32"/>
          <w:szCs w:val="32"/>
          <w:lang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责任单位：市司法局、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制定规范性文件的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市直有关</w:t>
      </w:r>
      <w:r>
        <w:rPr>
          <w:rFonts w:hint="eastAsia" w:ascii="仿宋_GB2312" w:hAnsi="仿宋_GB2312" w:eastAsia="仿宋_GB2312" w:cs="仿宋_GB2312"/>
          <w:b w:val="0"/>
          <w:bCs w:val="0"/>
          <w:color w:val="000000" w:themeColor="text1"/>
          <w:sz w:val="32"/>
          <w:szCs w:val="32"/>
          <w14:textFill>
            <w14:solidFill>
              <w14:schemeClr w14:val="tx1"/>
            </w14:solidFill>
          </w14:textFill>
        </w:rPr>
        <w:t>部门</w:t>
      </w:r>
      <w:r>
        <w:rPr>
          <w:rFonts w:hint="eastAsia" w:ascii="仿宋_GB2312" w:hAnsi="仿宋_GB2312" w:eastAsia="仿宋_GB2312" w:cs="仿宋_GB2312"/>
          <w:b w:val="0"/>
          <w:bCs w:val="0"/>
          <w:color w:val="000000" w:themeColor="text1"/>
          <w:spacing w:val="-13"/>
          <w:sz w:val="32"/>
          <w:szCs w:val="32"/>
          <w:lang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（三）健全行政决策制度体系，不断提升行政决策公信力和执行力</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b w:val="0"/>
          <w:bCs w:val="0"/>
          <w:color w:val="000000" w:themeColor="text1"/>
          <w:sz w:val="32"/>
          <w:szCs w:val="32"/>
          <w14:textFill>
            <w14:solidFill>
              <w14:schemeClr w14:val="tx1"/>
            </w14:solidFill>
          </w14:textFill>
        </w:rPr>
        <w:t>强化依法决策意识。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贯彻落实“三重一大”事项集体决策制度，严格遵循法定权限和程序作出决策，严格落实《四川省市县重大经济事项决策规定（试行）》。推行重大行政决策前专题学法制度。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重大行政决策情况依法自觉接受本级人大及其常委会的监督。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坚持</w:t>
      </w:r>
      <w:r>
        <w:rPr>
          <w:rFonts w:hint="eastAsia" w:ascii="仿宋_GB2312" w:hAnsi="仿宋_GB2312" w:eastAsia="仿宋_GB2312" w:cs="仿宋_GB2312"/>
          <w:b w:val="0"/>
          <w:bCs w:val="0"/>
          <w:color w:val="000000" w:themeColor="text1"/>
          <w:sz w:val="32"/>
          <w:szCs w:val="32"/>
          <w14:textFill>
            <w14:solidFill>
              <w14:schemeClr w14:val="tx1"/>
            </w14:solidFill>
          </w14:textFill>
        </w:rPr>
        <w:t>把是否遵守决策程序制度、做到依法决策作为对政府部门党组（党委）开展巡察和对行政机关主要负责人开展考核督察、经济责任审计的重要内容，防止个人专断、搞“一言堂”。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市纪委监委机关、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市委组织部、市委巡察办、</w:t>
      </w:r>
      <w:r>
        <w:rPr>
          <w:rFonts w:hint="eastAsia" w:ascii="仿宋_GB2312" w:hAnsi="仿宋_GB2312" w:eastAsia="仿宋_GB2312" w:cs="仿宋_GB2312"/>
          <w:b w:val="0"/>
          <w:bCs w:val="0"/>
          <w:color w:val="000000" w:themeColor="text1"/>
          <w:sz w:val="32"/>
          <w:szCs w:val="32"/>
          <w14:textFill>
            <w14:solidFill>
              <w14:schemeClr w14:val="tx1"/>
            </w14:solidFill>
          </w14:textFill>
        </w:rPr>
        <w:t>市审计局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23.加大公众参与力度。决策承办单位应当采取便于社会公众参与的方式充分听取意见，涉及社会公众切身利益的重要规划、重大公共政策和措施、重大公共建设项目等，应当通过听证会等形式听取意见建议。决策承办单位应当对社会各方面提出的意见进行归纳整理、研究论证，充分采纳合理意见，完善决策草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责任单位：市直有关</w:t>
      </w:r>
      <w:r>
        <w:rPr>
          <w:rFonts w:hint="eastAsia" w:ascii="仿宋_GB2312" w:hAnsi="仿宋_GB2312" w:eastAsia="仿宋_GB2312" w:cs="仿宋_GB2312"/>
          <w:b w:val="0"/>
          <w:bCs w:val="0"/>
          <w:color w:val="000000" w:themeColor="text1"/>
          <w:sz w:val="32"/>
          <w:szCs w:val="32"/>
          <w14:textFill>
            <w14:solidFill>
              <w14:schemeClr w14:val="tx1"/>
            </w14:solidFill>
          </w14:textFill>
        </w:rPr>
        <w:t>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24.加强专家论证、风险评估。</w:t>
      </w:r>
      <w:r>
        <w:rPr>
          <w:rFonts w:hint="eastAsia" w:ascii="仿宋_GB2312" w:hAnsi="仿宋_GB2312" w:eastAsia="仿宋_GB2312" w:cs="仿宋_GB2312"/>
          <w:b w:val="0"/>
          <w:bCs w:val="0"/>
          <w:i w:val="0"/>
          <w:iCs w:val="0"/>
          <w:color w:val="000000" w:themeColor="text1"/>
          <w:sz w:val="32"/>
          <w:szCs w:val="32"/>
          <w:lang w:val="en-US" w:eastAsia="zh-CN"/>
          <w14:textFill>
            <w14:solidFill>
              <w14:schemeClr w14:val="tx1"/>
            </w14:solidFill>
          </w14:textFill>
        </w:rPr>
        <w:t>建立健全重大行政决策咨询专家库，对专业性、技术性较强的决策事项，应当组织专家论证。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涉及经济社会发展和人民群众切身利益的重大政策、重大项目等决策事项，进行社会稳定、公共安全等方面的风险评估。（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责任单位：市直有关</w:t>
      </w:r>
      <w:r>
        <w:rPr>
          <w:rFonts w:hint="eastAsia" w:ascii="仿宋_GB2312" w:hAnsi="仿宋_GB2312" w:eastAsia="仿宋_GB2312" w:cs="仿宋_GB2312"/>
          <w:b w:val="0"/>
          <w:bCs w:val="0"/>
          <w:color w:val="000000" w:themeColor="text1"/>
          <w:sz w:val="32"/>
          <w:szCs w:val="32"/>
          <w14:textFill>
            <w14:solidFill>
              <w14:schemeClr w14:val="tx1"/>
            </w14:solidFill>
          </w14:textFill>
        </w:rPr>
        <w:t>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25.严格履行合法性审查程序。决策草案未经合法性审查或者经审查不合法的，不得提交决策机关讨论。健全完善合法性审查操作指南，提高合法性审查质量，不得以征求意见等方式代替合法性审查，</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对国家尚无明确规定的探索性改革决策事项，可以明示法律风险，提交决策机关讨论。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发挥法律顾问在重大行政决策中的法律咨询作用。（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责任单位：市司法局，市直有关</w:t>
      </w:r>
      <w:r>
        <w:rPr>
          <w:rFonts w:hint="eastAsia" w:ascii="仿宋_GB2312" w:hAnsi="仿宋_GB2312" w:eastAsia="仿宋_GB2312" w:cs="仿宋_GB2312"/>
          <w:b w:val="0"/>
          <w:bCs w:val="0"/>
          <w:color w:val="000000" w:themeColor="text1"/>
          <w:sz w:val="32"/>
          <w:szCs w:val="32"/>
          <w14:textFill>
            <w14:solidFill>
              <w14:schemeClr w14:val="tx1"/>
            </w14:solidFill>
          </w14:textFill>
        </w:rPr>
        <w:t>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26.实施决策事项目录化案卷化管理。推行重大行政决策事项年度目录公开制度，明确决策事项、法律政策依据、需履行的程序、承办单位、完成时间等。建立健全决策过程记录和材料归档制度，决策过程中的各类文件资料、会议记录、会议纪要及其他重要资料应全部收集整理，妥善保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责任单位：市直有关</w:t>
      </w:r>
      <w:r>
        <w:rPr>
          <w:rFonts w:hint="eastAsia" w:ascii="仿宋_GB2312" w:hAnsi="仿宋_GB2312" w:eastAsia="仿宋_GB2312" w:cs="仿宋_GB2312"/>
          <w:b w:val="0"/>
          <w:bCs w:val="0"/>
          <w:color w:val="000000" w:themeColor="text1"/>
          <w:sz w:val="32"/>
          <w:szCs w:val="32"/>
          <w14:textFill>
            <w14:solidFill>
              <w14:schemeClr w14:val="tx1"/>
            </w14:solidFill>
          </w14:textFill>
        </w:rPr>
        <w:t>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完善行政决策执行机制。</w:t>
      </w:r>
      <w:r>
        <w:rPr>
          <w:rFonts w:hint="eastAsia" w:ascii="仿宋_GB2312" w:hAnsi="仿宋_GB2312" w:eastAsia="仿宋_GB2312" w:cs="仿宋_GB2312"/>
          <w:b w:val="0"/>
          <w:bCs w:val="0"/>
          <w:color w:val="000000" w:themeColor="text1"/>
          <w:sz w:val="32"/>
          <w:szCs w:val="32"/>
          <w14:textFill>
            <w14:solidFill>
              <w14:schemeClr w14:val="tx1"/>
            </w14:solidFill>
          </w14:textFill>
        </w:rPr>
        <w:t>决策机关应当在决策中明确执行主体、执行时限、执行反馈等内容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及时掌握执行进度、效果。决策执行单位应当依法全面、及时、正确执行重大行政决策，并向决策机关报告决策执行情况。重大行政决策一经作出，未经法定程序不得随意变更或者停止执行。严格落实重大行政决策终身责任追究制度和责任倒查机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责任单位：市直有关</w:t>
      </w:r>
      <w:r>
        <w:rPr>
          <w:rFonts w:hint="eastAsia" w:ascii="仿宋_GB2312" w:hAnsi="仿宋_GB2312" w:eastAsia="仿宋_GB2312" w:cs="仿宋_GB2312"/>
          <w:b w:val="0"/>
          <w:bCs w:val="0"/>
          <w:color w:val="000000" w:themeColor="text1"/>
          <w:sz w:val="32"/>
          <w:szCs w:val="32"/>
          <w14:textFill>
            <w14:solidFill>
              <w14:schemeClr w14:val="tx1"/>
            </w14:solidFill>
          </w14:textFill>
        </w:rPr>
        <w:t>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b w:val="0"/>
          <w:bCs w:val="0"/>
          <w:color w:val="000000" w:themeColor="text1"/>
          <w:sz w:val="32"/>
          <w:szCs w:val="32"/>
          <w14:textFill>
            <w14:solidFill>
              <w14:schemeClr w14:val="tx1"/>
            </w14:solidFill>
          </w14:textFill>
        </w:rPr>
        <w:t>推进决策后评估工作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决策机关依法组织开展决策后评估工作，提出继续执行、停止执行、暂缓执行或者修改决策等建议。决策后评估应当注重听取社会公众的意见，吸收人大代表、政协委员、人民团体、基层组织、社会组织参与评估。</w:t>
      </w:r>
      <w:r>
        <w:rPr>
          <w:rFonts w:hint="eastAsia" w:ascii="仿宋_GB2312" w:hAnsi="仿宋_GB2312" w:eastAsia="仿宋_GB2312" w:cs="仿宋_GB2312"/>
          <w:b w:val="0"/>
          <w:bCs w:val="0"/>
          <w:color w:val="000000" w:themeColor="text1"/>
          <w:sz w:val="32"/>
          <w:szCs w:val="32"/>
          <w14:textFill>
            <w14:solidFill>
              <w14:schemeClr w14:val="tx1"/>
            </w14:solidFill>
          </w14:textFill>
        </w:rPr>
        <w:t>决策后评估结果作为调整重大行政决策的重要依据。</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强化</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政府合同备案</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审查、后评估</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，防范合同风险</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，提升合同质量，</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形成对政府合同全流程的规范管理。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责任单位：市直有关</w:t>
      </w:r>
      <w:r>
        <w:rPr>
          <w:rFonts w:hint="eastAsia" w:ascii="仿宋_GB2312" w:hAnsi="仿宋_GB2312" w:eastAsia="仿宋_GB2312" w:cs="仿宋_GB2312"/>
          <w:b w:val="0"/>
          <w:bCs w:val="0"/>
          <w:color w:val="000000" w:themeColor="text1"/>
          <w:sz w:val="32"/>
          <w:szCs w:val="32"/>
          <w14:textFill>
            <w14:solidFill>
              <w14:schemeClr w14:val="tx1"/>
            </w14:solidFill>
          </w14:textFill>
        </w:rPr>
        <w:t>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（四）健全行政执法工作体系，全面推进严格规范公正文明执法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29.深化综合执法体制改革。深化城市管理、市场监管、生态环境等“8+1”领域综合行政执法改革，健全审批监管执法协调配合机制，统筹推进应急管理领域综合行政执法改革。优化执法层级，</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设区市与市辖区原则上只设一个行政执法层级，县（市、区）一般实行“局队合一”体制。建立健全综合执法、联合执法、协作执法工作机制。整合执法力量，将人员力量向执法岗位和基层一线倾斜，推动执法力量下沉。推进综合行政执法制式服装和标志监督管理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市委编办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、市司法局、市生态环境局等有行政执法权的市直有关部</w:t>
      </w:r>
      <w:r>
        <w:rPr>
          <w:rFonts w:hint="eastAsia" w:ascii="仿宋_GB2312" w:hAnsi="仿宋_GB2312" w:eastAsia="仿宋_GB2312" w:cs="仿宋_GB2312"/>
          <w:b w:val="0"/>
          <w:bCs w:val="0"/>
          <w:color w:val="000000" w:themeColor="text1"/>
          <w:sz w:val="32"/>
          <w:szCs w:val="32"/>
          <w14:textFill>
            <w14:solidFill>
              <w14:schemeClr w14:val="tx1"/>
            </w14:solidFill>
          </w14:textFill>
        </w:rPr>
        <w:t>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30.推进乡镇综合执法体制改革。稳步将基层管理迫切需要且能有效承接的行政执法事项赋予乡镇（街道），坚持权随事转、编随事转、钱随事转，确保放得下、接得住、管得好、有监督，逐步实现“一支队伍管执法”。率先在中心镇推广试点镇综合行政执法“1+4”体系建设做法，做实乡镇综合行政执法机构。建立健全乡镇（街道）与上一级相关部门行政执法案件移送及协调协作机制。加强乡镇执法机构人员培训，不断提升乡镇执法机构人员持证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市委编办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、市司法局等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b w:val="0"/>
          <w:bCs w:val="0"/>
          <w:color w:val="000000" w:themeColor="text1"/>
          <w:sz w:val="32"/>
          <w:szCs w:val="32"/>
          <w14:textFill>
            <w14:solidFill>
              <w14:schemeClr w14:val="tx1"/>
            </w14:solidFill>
          </w14:textFill>
        </w:rPr>
        <w:t>加大重点领域执法力度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加大食品药品、公共卫生、自然资源、生态环境、安全生产、劳动保障、城市管理、交通运输、金融服务、教育培训等领域关系群众切身利益的突出问题的执法力度。严厉打击违规野外用火、利用互联网制售侵权假冒伪劣商品、电信诈骗、损害生态环境等违法行为。对潜在风险大、可能造成严重不良后果的领域，加强日常监管和执法巡查，从源头上预防和化解违法风险。畅通违法行为投诉举报渠道，强化“12345”热线数据分析应用，对人民群众反复多次、反映强烈的突出问题开展专项整治。对举报严重违法违规行为和重大风险隐患的有功人员依法给予奖励和严格保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责任单位：市市场监管局、市公安局、市生态环境局、市人力资源社会保障局、市交通运输局等具有行政执法权的市直有关部</w:t>
      </w:r>
      <w:r>
        <w:rPr>
          <w:rFonts w:hint="eastAsia" w:ascii="仿宋_GB2312" w:hAnsi="仿宋_GB2312" w:eastAsia="仿宋_GB2312" w:cs="仿宋_GB2312"/>
          <w:b w:val="0"/>
          <w:bCs w:val="0"/>
          <w:color w:val="000000" w:themeColor="text1"/>
          <w:sz w:val="32"/>
          <w:szCs w:val="32"/>
          <w14:textFill>
            <w14:solidFill>
              <w14:schemeClr w14:val="tx1"/>
            </w14:solidFill>
          </w14:textFill>
        </w:rPr>
        <w:t>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32.纵深推进行政执法“三项制度”。全面落实行政执法公示办法、全过程记录办法和执法决定法制审核办法，推进“三项制度”向基层延伸，实现市、县、乡三级全覆盖。健全执法经费保障机制，保障行政执法机关依法履职所需的执法装备、经费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责任单位：市司法局、市财政局、市市场监管局、市公安局、市生态环境局等具有行政执法权的市直有关部</w:t>
      </w:r>
      <w:r>
        <w:rPr>
          <w:rFonts w:hint="eastAsia" w:ascii="仿宋_GB2312" w:hAnsi="仿宋_GB2312" w:eastAsia="仿宋_GB2312" w:cs="仿宋_GB2312"/>
          <w:b w:val="0"/>
          <w:bCs w:val="0"/>
          <w:color w:val="000000" w:themeColor="text1"/>
          <w:sz w:val="32"/>
          <w:szCs w:val="32"/>
          <w14:textFill>
            <w14:solidFill>
              <w14:schemeClr w14:val="tx1"/>
            </w14:solidFill>
          </w14:textFill>
        </w:rPr>
        <w:t>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33.强化</w:t>
      </w:r>
      <w:r>
        <w:rPr>
          <w:rFonts w:hint="eastAsia" w:ascii="仿宋_GB2312" w:hAnsi="仿宋_GB2312" w:eastAsia="仿宋_GB2312" w:cs="仿宋_GB2312"/>
          <w:b w:val="0"/>
          <w:bCs w:val="0"/>
          <w:color w:val="000000" w:themeColor="text1"/>
          <w:sz w:val="32"/>
          <w:szCs w:val="32"/>
          <w14:textFill>
            <w14:solidFill>
              <w14:schemeClr w14:val="tx1"/>
            </w14:solidFill>
          </w14:textFill>
        </w:rPr>
        <w:t>行政执法人员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管理。每年开展行政执法人员培训和资格考试，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2022年底前完成全市行政执法证件换发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。试行电子行政执法证，强化行政执法人员资格动态管理。</w:t>
      </w:r>
      <w:r>
        <w:rPr>
          <w:rFonts w:hint="eastAsia" w:ascii="仿宋_GB2312" w:hAnsi="仿宋_GB2312" w:eastAsia="仿宋_GB2312" w:cs="仿宋_GB2312"/>
          <w:b w:val="0"/>
          <w:bCs w:val="0"/>
          <w:color w:val="000000" w:themeColor="text1"/>
          <w:kern w:val="0"/>
          <w:sz w:val="32"/>
          <w:szCs w:val="32"/>
          <w:shd w:val="clear" w:color="auto" w:fill="FFFFFF"/>
          <w:lang w:eastAsia="zh-CN"/>
          <w14:textFill>
            <w14:solidFill>
              <w14:schemeClr w14:val="tx1"/>
            </w14:solidFill>
          </w14:textFill>
        </w:rPr>
        <w:t>强化行政</w:t>
      </w:r>
      <w:r>
        <w:rPr>
          <w:rFonts w:hint="eastAsia" w:ascii="仿宋_GB2312" w:hAnsi="仿宋_GB2312" w:eastAsia="仿宋_GB2312" w:cs="仿宋_GB2312"/>
          <w:b w:val="0"/>
          <w:bCs w:val="0"/>
          <w:color w:val="000000" w:themeColor="text1"/>
          <w:kern w:val="0"/>
          <w:sz w:val="32"/>
          <w:szCs w:val="32"/>
          <w:shd w:val="clear" w:color="auto" w:fill="FFFFFF"/>
          <w14:textFill>
            <w14:solidFill>
              <w14:schemeClr w14:val="tx1"/>
            </w14:solidFill>
          </w14:textFill>
        </w:rPr>
        <w:t>执法辅助人员管理，</w:t>
      </w:r>
      <w:r>
        <w:rPr>
          <w:rFonts w:hint="eastAsia" w:ascii="仿宋_GB2312" w:hAnsi="仿宋_GB2312" w:eastAsia="仿宋_GB2312" w:cs="仿宋_GB2312"/>
          <w:b w:val="0"/>
          <w:bCs w:val="0"/>
          <w:color w:val="000000" w:themeColor="text1"/>
          <w:kern w:val="0"/>
          <w:sz w:val="32"/>
          <w:szCs w:val="32"/>
          <w:shd w:val="clear" w:color="auto" w:fill="FFFFFF"/>
          <w:lang w:eastAsia="zh-CN"/>
          <w14:textFill>
            <w14:solidFill>
              <w14:schemeClr w14:val="tx1"/>
            </w14:solidFill>
          </w14:textFill>
        </w:rPr>
        <w:t>明确行政</w:t>
      </w:r>
      <w:r>
        <w:rPr>
          <w:rFonts w:hint="eastAsia" w:ascii="仿宋_GB2312" w:hAnsi="仿宋_GB2312" w:eastAsia="仿宋_GB2312" w:cs="仿宋_GB2312"/>
          <w:b w:val="0"/>
          <w:bCs w:val="0"/>
          <w:color w:val="000000" w:themeColor="text1"/>
          <w:kern w:val="0"/>
          <w:sz w:val="32"/>
          <w:szCs w:val="32"/>
          <w:shd w:val="clear" w:color="auto" w:fill="FFFFFF"/>
          <w14:textFill>
            <w14:solidFill>
              <w14:schemeClr w14:val="tx1"/>
            </w14:solidFill>
          </w14:textFill>
        </w:rPr>
        <w:t>执法辅助人员的适用岗位、权</w:t>
      </w:r>
      <w:r>
        <w:rPr>
          <w:rFonts w:hint="eastAsia" w:ascii="仿宋_GB2312" w:hAnsi="仿宋_GB2312" w:eastAsia="仿宋_GB2312" w:cs="仿宋_GB2312"/>
          <w:b w:val="0"/>
          <w:bCs w:val="0"/>
          <w:color w:val="000000" w:themeColor="text1"/>
          <w:kern w:val="0"/>
          <w:sz w:val="32"/>
          <w:szCs w:val="32"/>
          <w:shd w:val="clear" w:color="auto" w:fill="FFFFFF"/>
          <w:lang w:eastAsia="zh-CN"/>
          <w14:textFill>
            <w14:solidFill>
              <w14:schemeClr w14:val="tx1"/>
            </w14:solidFill>
          </w14:textFill>
        </w:rPr>
        <w:t>责</w:t>
      </w:r>
      <w:r>
        <w:rPr>
          <w:rFonts w:hint="eastAsia" w:ascii="仿宋_GB2312" w:hAnsi="仿宋_GB2312" w:eastAsia="仿宋_GB2312" w:cs="仿宋_GB2312"/>
          <w:b w:val="0"/>
          <w:bCs w:val="0"/>
          <w:color w:val="000000" w:themeColor="text1"/>
          <w:kern w:val="0"/>
          <w:sz w:val="32"/>
          <w:szCs w:val="32"/>
          <w:shd w:val="clear" w:color="auto" w:fill="FFFFFF"/>
          <w14:textFill>
            <w14:solidFill>
              <w14:schemeClr w14:val="tx1"/>
            </w14:solidFill>
          </w14:textFill>
        </w:rPr>
        <w:t>和</w:t>
      </w:r>
      <w:r>
        <w:rPr>
          <w:rFonts w:hint="eastAsia" w:ascii="仿宋_GB2312" w:hAnsi="仿宋_GB2312" w:eastAsia="仿宋_GB2312" w:cs="仿宋_GB2312"/>
          <w:b w:val="0"/>
          <w:bCs w:val="0"/>
          <w:color w:val="000000" w:themeColor="text1"/>
          <w:kern w:val="0"/>
          <w:sz w:val="32"/>
          <w:szCs w:val="32"/>
          <w:shd w:val="clear" w:color="auto" w:fill="FFFFFF"/>
          <w:lang w:eastAsia="zh-CN"/>
          <w14:textFill>
            <w14:solidFill>
              <w14:schemeClr w14:val="tx1"/>
            </w14:solidFill>
          </w14:textFill>
        </w:rPr>
        <w:t>聘任</w:t>
      </w:r>
      <w:r>
        <w:rPr>
          <w:rFonts w:hint="eastAsia" w:ascii="仿宋_GB2312" w:hAnsi="仿宋_GB2312" w:eastAsia="仿宋_GB2312" w:cs="仿宋_GB2312"/>
          <w:b w:val="0"/>
          <w:bCs w:val="0"/>
          <w:color w:val="000000" w:themeColor="text1"/>
          <w:kern w:val="0"/>
          <w:sz w:val="32"/>
          <w:szCs w:val="32"/>
          <w:shd w:val="clear" w:color="auto" w:fill="FFFFFF"/>
          <w14:textFill>
            <w14:solidFill>
              <w14:schemeClr w14:val="tx1"/>
            </w14:solidFill>
          </w14:textFill>
        </w:rPr>
        <w:t>程序</w:t>
      </w:r>
      <w:r>
        <w:rPr>
          <w:rFonts w:hint="eastAsia" w:ascii="仿宋_GB2312" w:hAnsi="仿宋_GB2312" w:eastAsia="仿宋_GB2312" w:cs="仿宋_GB2312"/>
          <w:b w:val="0"/>
          <w:bCs w:val="0"/>
          <w:color w:val="000000" w:themeColor="text1"/>
          <w:kern w:val="0"/>
          <w:sz w:val="32"/>
          <w:szCs w:val="32"/>
          <w:shd w:val="clear" w:color="auto" w:fill="FFFFFF"/>
          <w:lang w:eastAsia="zh-CN"/>
          <w14:textFill>
            <w14:solidFill>
              <w14:schemeClr w14:val="tx1"/>
            </w14:solidFill>
          </w14:textFill>
        </w:rPr>
        <w:t>，切实提高行政执法辅助人员的执业素养和能力</w:t>
      </w:r>
      <w:r>
        <w:rPr>
          <w:rFonts w:hint="eastAsia" w:ascii="仿宋_GB2312" w:hAnsi="仿宋_GB2312" w:eastAsia="仿宋_GB2312" w:cs="仿宋_GB2312"/>
          <w:b w:val="0"/>
          <w:bCs w:val="0"/>
          <w:color w:val="000000" w:themeColor="text1"/>
          <w:kern w:val="0"/>
          <w:sz w:val="32"/>
          <w:szCs w:val="32"/>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责任单位：市司法局、市市场监管局、市公安局、市生态环境局等具有行政执法权的市直有关部</w:t>
      </w:r>
      <w:r>
        <w:rPr>
          <w:rFonts w:hint="eastAsia" w:ascii="仿宋_GB2312" w:hAnsi="仿宋_GB2312" w:eastAsia="仿宋_GB2312" w:cs="仿宋_GB2312"/>
          <w:b w:val="0"/>
          <w:bCs w:val="0"/>
          <w:color w:val="000000" w:themeColor="text1"/>
          <w:sz w:val="32"/>
          <w:szCs w:val="32"/>
          <w14:textFill>
            <w14:solidFill>
              <w14:schemeClr w14:val="tx1"/>
            </w14:solidFill>
          </w14:textFill>
        </w:rPr>
        <w:t>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34.加强行政执法标准化建设。全面落实行政裁量权基准制度，细化量化本地区各行政执法行为的裁量范围、种类、幅度等，最大限度压缩自由裁量空间。推广使用全省行政执法案件编号标准、行政执法用语标准、重大行政执法决定法制审核标准，逐步实现执法标准化。总结推广“法治账图”模式，2022年底前在具有行政执法权的部分市直部门推行，2025年前各县（市、区）具有行政执法权的县级部门和乡镇（街道）全面推行。强化行政执法案例指导，进一步统一执法标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责任单位：市司法局、市市场监管局、市公安局、市自然资源和规划局等具有行政执法权的市直有关部</w:t>
      </w:r>
      <w:r>
        <w:rPr>
          <w:rFonts w:hint="eastAsia" w:ascii="仿宋_GB2312" w:hAnsi="仿宋_GB2312" w:eastAsia="仿宋_GB2312" w:cs="仿宋_GB2312"/>
          <w:b w:val="0"/>
          <w:bCs w:val="0"/>
          <w:color w:val="000000" w:themeColor="text1"/>
          <w:sz w:val="32"/>
          <w:szCs w:val="32"/>
          <w14:textFill>
            <w14:solidFill>
              <w14:schemeClr w14:val="tx1"/>
            </w14:solidFill>
          </w14:textFill>
        </w:rPr>
        <w:t>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35.有效落实行刑衔接。加强行刑衔接信息共享平台的运用，逐步实现线上线下同步移送，行政执法部门涉嫌犯罪案件主动移送率100%，不得以行政处罚代替移送。发挥联席会议制度作用，推进信息共享机制化、案件移送标准和程序规范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市检察院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、市公安局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市司法局，市市场监管局、市人力资源社会保障局、市生态环境局等具有行政执法权的市直有关部</w:t>
      </w:r>
      <w:r>
        <w:rPr>
          <w:rFonts w:hint="eastAsia" w:ascii="仿宋_GB2312" w:hAnsi="仿宋_GB2312" w:eastAsia="仿宋_GB2312" w:cs="仿宋_GB2312"/>
          <w:b w:val="0"/>
          <w:bCs w:val="0"/>
          <w:color w:val="000000" w:themeColor="text1"/>
          <w:sz w:val="32"/>
          <w:szCs w:val="32"/>
          <w14:textFill>
            <w14:solidFill>
              <w14:schemeClr w14:val="tx1"/>
            </w14:solidFill>
          </w14:textFill>
        </w:rPr>
        <w:t>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36.依法推行适用“三张清单”。依据行政处罚法等相关法律法规规定，综合考虑违法次数、危害后果、改正程度等因素，制定落实各领域的轻微违法行为免予处罚，一般违法行为减轻处罚、从轻处罚“三张清单”。对适用不予行政处罚的轻微违法行为，行政执法部门应当通过批评教育、指导约谈、责令改正等方式予以纠正，做到宽严相济、法理相融，让执法既有力度又有温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责任单位：市司法局、市市场监管局、市公安局、市人力资源社会保障局等具有行政执法权的市直有关部</w:t>
      </w:r>
      <w:r>
        <w:rPr>
          <w:rFonts w:hint="eastAsia" w:ascii="仿宋_GB2312" w:hAnsi="仿宋_GB2312" w:eastAsia="仿宋_GB2312" w:cs="仿宋_GB2312"/>
          <w:b w:val="0"/>
          <w:bCs w:val="0"/>
          <w:color w:val="000000" w:themeColor="text1"/>
          <w:sz w:val="32"/>
          <w:szCs w:val="32"/>
          <w14:textFill>
            <w14:solidFill>
              <w14:schemeClr w14:val="tx1"/>
            </w14:solidFill>
          </w14:textFill>
        </w:rPr>
        <w:t>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（五）健全突发事件应对体系，依法预防处置重大突发事件</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37.</w:t>
      </w:r>
      <w:r>
        <w:rPr>
          <w:rFonts w:hint="eastAsia" w:ascii="仿宋_GB2312" w:hAnsi="仿宋_GB2312" w:eastAsia="仿宋_GB2312" w:cs="仿宋_GB2312"/>
          <w:b w:val="0"/>
          <w:bCs w:val="0"/>
          <w:color w:val="000000" w:themeColor="text1"/>
          <w:sz w:val="32"/>
          <w:szCs w:val="32"/>
          <w14:textFill>
            <w14:solidFill>
              <w14:schemeClr w14:val="tx1"/>
            </w14:solidFill>
          </w14:textFill>
        </w:rPr>
        <w:t>完善突发事件应对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制度。</w:t>
      </w:r>
      <w:r>
        <w:rPr>
          <w:rFonts w:hint="eastAsia" w:ascii="仿宋_GB2312" w:hAnsi="仿宋_GB2312" w:eastAsia="仿宋_GB2312" w:cs="仿宋_GB2312"/>
          <w:b w:val="0"/>
          <w:bCs w:val="0"/>
          <w:color w:val="000000" w:themeColor="text1"/>
          <w:sz w:val="32"/>
          <w:szCs w:val="32"/>
          <w14:textFill>
            <w14:solidFill>
              <w14:schemeClr w14:val="tx1"/>
            </w14:solidFill>
          </w14:textFill>
        </w:rPr>
        <w:t>制定完善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遂宁市</w:t>
      </w:r>
      <w:r>
        <w:rPr>
          <w:rFonts w:hint="eastAsia" w:ascii="仿宋_GB2312" w:hAnsi="仿宋_GB2312" w:eastAsia="仿宋_GB2312" w:cs="仿宋_GB2312"/>
          <w:b w:val="0"/>
          <w:bCs w:val="0"/>
          <w:color w:val="000000" w:themeColor="text1"/>
          <w:sz w:val="32"/>
          <w:szCs w:val="32"/>
          <w14:textFill>
            <w14:solidFill>
              <w14:schemeClr w14:val="tx1"/>
            </w14:solidFill>
          </w14:textFill>
        </w:rPr>
        <w:t>总体应急预案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专项应急预案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应急</w:t>
      </w:r>
      <w:r>
        <w:rPr>
          <w:rFonts w:hint="eastAsia" w:ascii="仿宋_GB2312" w:hAnsi="仿宋_GB2312" w:eastAsia="仿宋_GB2312" w:cs="仿宋_GB2312"/>
          <w:b w:val="0"/>
          <w:bCs w:val="0"/>
          <w:color w:val="000000" w:themeColor="text1"/>
          <w:sz w:val="32"/>
          <w:szCs w:val="32"/>
          <w14:textFill>
            <w14:solidFill>
              <w14:schemeClr w14:val="tx1"/>
            </w14:solidFill>
          </w14:textFill>
        </w:rPr>
        <w:t>预案，强化应急预案的分级分类管理，构建覆盖全灾种、全区域、全行业、全层级、全过程的应急预案体系。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强灾害事故风险监测预警、推进预警信息共享、报送、发布和响应制度建设。健全突发事件应对征收、征用、救助、补偿制度，规范相关审批、实施程序和救济途径。加快构建系统完备、科学规范、运行有效的疫情防控制度体系。（责任单位：市应急局、市卫生健康委、市经济和信息化局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38.健全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应急响应机制。建立政府领导、部门参与的应急响应联动机制，加强会商研判和风险评估，精准发布预警，精准组织抢险救援，完善各类应急举措的处置程序和协调机制，推动形成上下联动、部门联动、军地联动、社会联动的应急分级分类救援格局。完善突发事件信息发布制度。（责任单位：市应急局、市公安局、市卫生健康委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39.</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加强应急执法和法治宣传引导。</w:t>
      </w:r>
      <w:r>
        <w:rPr>
          <w:rFonts w:hint="eastAsia" w:ascii="仿宋_GB2312" w:hAnsi="仿宋_GB2312" w:eastAsia="仿宋_GB2312" w:cs="仿宋_GB2312"/>
          <w:b w:val="0"/>
          <w:bCs w:val="0"/>
          <w:color w:val="000000" w:themeColor="text1"/>
          <w:sz w:val="32"/>
          <w:szCs w:val="32"/>
          <w14:textFill>
            <w14:solidFill>
              <w14:schemeClr w14:val="tx1"/>
            </w14:solidFill>
          </w14:textFill>
        </w:rPr>
        <w:t>依法严厉打击利用突发事件哄抬物价、囤积居奇、造谣滋事、制假售假等扰乱社会秩序行为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。加强突发事件应急处置的信息公开和普法宣传，强化公众风险防范、安全应急意识和自救互救能力，畅通表达渠道，</w:t>
      </w:r>
      <w:r>
        <w:rPr>
          <w:rFonts w:hint="eastAsia" w:ascii="仿宋_GB2312" w:hAnsi="仿宋_GB2312" w:eastAsia="仿宋_GB2312" w:cs="仿宋_GB2312"/>
          <w:b w:val="0"/>
          <w:bCs w:val="0"/>
          <w:color w:val="000000" w:themeColor="text1"/>
          <w:sz w:val="32"/>
          <w:szCs w:val="32"/>
          <w14:textFill>
            <w14:solidFill>
              <w14:schemeClr w14:val="tx1"/>
            </w14:solidFill>
          </w14:textFill>
        </w:rPr>
        <w:t>引导社会公众依法、理性表达意见。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（责任单位：市应急局</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市市场监管局、市公安局、市经济和信息局、市卫生健康委等）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40.健全基层应急组织体系。组建乡镇（街道）应急队和村（社区）应急分队，基本建成以区域性中心乡镇（街道）消防救援站为主力，乡镇（街道）应急队和村（社区）应急分队为辅助的基层应急力量体系。加强应急队伍建设及应急管理能力提升，</w:t>
      </w:r>
      <w:r>
        <w:rPr>
          <w:rFonts w:hint="eastAsia" w:ascii="仿宋_GB2312" w:hAnsi="仿宋_GB2312" w:eastAsia="仿宋_GB2312" w:cs="仿宋_GB2312"/>
          <w:b w:val="0"/>
          <w:bCs w:val="0"/>
          <w:color w:val="000000" w:themeColor="text1"/>
          <w:sz w:val="32"/>
          <w:szCs w:val="32"/>
          <w14:textFill>
            <w14:solidFill>
              <w14:schemeClr w14:val="tx1"/>
            </w14:solidFill>
          </w14:textFill>
        </w:rPr>
        <w:t>引导村（居）民参与风险隐患排查和群防群治，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筑牢基层应急管理基础。（责任单位：市应急局等）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41.</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规范社会救援力量管理。完善社会应急力量备案登记、调用补偿和保险保障等方面的配套措施，积极引导和鼓励社会</w:t>
      </w:r>
      <w:r>
        <w:rPr>
          <w:rFonts w:hint="eastAsia" w:ascii="仿宋_GB2312" w:hAnsi="仿宋_GB2312" w:eastAsia="仿宋_GB2312" w:cs="仿宋_GB2312"/>
          <w:b w:val="0"/>
          <w:bCs w:val="0"/>
          <w:color w:val="000000" w:themeColor="text1"/>
          <w:sz w:val="32"/>
          <w:szCs w:val="32"/>
          <w14:textFill>
            <w14:solidFill>
              <w14:schemeClr w14:val="tx1"/>
            </w14:solidFill>
          </w14:textFill>
        </w:rPr>
        <w:t>组织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、慈善组织、</w:t>
      </w:r>
      <w:r>
        <w:rPr>
          <w:rFonts w:hint="eastAsia" w:ascii="仿宋_GB2312" w:hAnsi="仿宋_GB2312" w:eastAsia="仿宋_GB2312" w:cs="仿宋_GB2312"/>
          <w:b w:val="0"/>
          <w:bCs w:val="0"/>
          <w:color w:val="000000" w:themeColor="text1"/>
          <w:sz w:val="32"/>
          <w:szCs w:val="32"/>
          <w14:textFill>
            <w14:solidFill>
              <w14:schemeClr w14:val="tx1"/>
            </w14:solidFill>
          </w14:textFill>
        </w:rPr>
        <w:t>社会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工作者、志愿者等</w:t>
      </w:r>
      <w:r>
        <w:rPr>
          <w:rFonts w:hint="eastAsia" w:ascii="仿宋_GB2312" w:hAnsi="仿宋_GB2312" w:eastAsia="仿宋_GB2312" w:cs="仿宋_GB2312"/>
          <w:b w:val="0"/>
          <w:bCs w:val="0"/>
          <w:color w:val="000000" w:themeColor="text1"/>
          <w:sz w:val="32"/>
          <w:szCs w:val="32"/>
          <w14:textFill>
            <w14:solidFill>
              <w14:schemeClr w14:val="tx1"/>
            </w14:solidFill>
          </w14:textFill>
        </w:rPr>
        <w:t>参与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应急救援、培训、演练，形成与专业应急救援队伍相互衔接、相互补偿的力量体系</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按规定将社会应急力量参与防灾减灾和应急救援工作纳入政府购买服务范围。（责任单位：市应急局、市民政局、市财政局等）</w:t>
      </w:r>
    </w:p>
    <w:p>
      <w:pPr>
        <w:pStyle w:val="2"/>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（六）</w:t>
      </w:r>
      <w:r>
        <w:rPr>
          <w:rFonts w:hint="eastAsia" w:ascii="楷体_GB2312" w:hAnsi="楷体_GB2312" w:eastAsia="楷体_GB2312" w:cs="楷体_GB2312"/>
          <w:b w:val="0"/>
          <w:bCs w:val="0"/>
          <w:color w:val="000000" w:themeColor="text1"/>
          <w:sz w:val="32"/>
          <w:szCs w:val="32"/>
          <w14:textFill>
            <w14:solidFill>
              <w14:schemeClr w14:val="tx1"/>
            </w14:solidFill>
          </w14:textFill>
        </w:rPr>
        <w:t>健全社会矛盾纠纷行政预防调处化解体系，不断促进社会公平正义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健全行政调解机制。规范行政调解范围、</w:t>
      </w:r>
      <w:r>
        <w:rPr>
          <w:rFonts w:hint="eastAsia" w:ascii="仿宋_GB2312" w:hAnsi="仿宋_GB2312" w:eastAsia="仿宋_GB2312" w:cs="仿宋_GB2312"/>
          <w:b w:val="0"/>
          <w:bCs w:val="0"/>
          <w:color w:val="000000" w:themeColor="text1"/>
          <w:sz w:val="32"/>
          <w:szCs w:val="32"/>
          <w14:textFill>
            <w14:solidFill>
              <w14:schemeClr w14:val="tx1"/>
            </w14:solidFill>
          </w14:textFill>
        </w:rPr>
        <w:t>调解主体、调解事项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健全完善申请受理、调处终结、督促履行、结案归档等程序，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依法加强</w:t>
      </w:r>
      <w:r>
        <w:rPr>
          <w:rFonts w:hint="eastAsia" w:ascii="仿宋_GB2312" w:hAnsi="仿宋_GB2312" w:eastAsia="仿宋_GB2312" w:cs="仿宋_GB2312"/>
          <w:b w:val="0"/>
          <w:bCs w:val="0"/>
          <w:color w:val="000000" w:themeColor="text1"/>
          <w:sz w:val="32"/>
          <w:szCs w:val="32"/>
          <w14:textFill>
            <w14:solidFill>
              <w14:schemeClr w14:val="tx1"/>
            </w14:solidFill>
          </w14:textFill>
        </w:rPr>
        <w:t>消费者权益保护、交通损害赔偿、治安管理、环境污染、社会保障、房屋土地征收、知识产权等方面行政调解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。加强行政调解人员的教育培训，切实提高行政调解工作水平。（责任单位：市司法局、市市场监管局、市公安局、市生态环境局、市民政局、市人力资源社会保障局、市住房城乡建设局等市直有关部门）</w:t>
      </w:r>
    </w:p>
    <w:p>
      <w:pPr>
        <w:pStyle w:val="2"/>
        <w:keepNext w:val="0"/>
        <w:keepLines w:val="0"/>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强化</w:t>
      </w:r>
      <w:r>
        <w:rPr>
          <w:rFonts w:hint="eastAsia" w:ascii="仿宋_GB2312" w:hAnsi="仿宋_GB2312" w:eastAsia="仿宋_GB2312" w:cs="仿宋_GB2312"/>
          <w:b w:val="0"/>
          <w:bCs w:val="0"/>
          <w:color w:val="000000" w:themeColor="text1"/>
          <w:sz w:val="32"/>
          <w:szCs w:val="32"/>
          <w14:textFill>
            <w14:solidFill>
              <w14:schemeClr w14:val="tx1"/>
            </w14:solidFill>
          </w14:textFill>
        </w:rPr>
        <w:t>行政争议实质性化解。持续推动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落实</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遂宁市</w:t>
      </w:r>
      <w:r>
        <w:rPr>
          <w:rFonts w:hint="eastAsia" w:ascii="仿宋_GB2312" w:hAnsi="仿宋_GB2312" w:eastAsia="仿宋_GB2312" w:cs="仿宋_GB2312"/>
          <w:b w:val="0"/>
          <w:bCs w:val="0"/>
          <w:color w:val="000000" w:themeColor="text1"/>
          <w:sz w:val="32"/>
          <w:szCs w:val="32"/>
          <w14:textFill>
            <w14:solidFill>
              <w14:schemeClr w14:val="tx1"/>
            </w14:solidFill>
          </w14:textFill>
        </w:rPr>
        <w:t>关于推进行政争议实质性化解的实施意见》，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完善行政调解与人民调解、</w:t>
      </w:r>
      <w:r>
        <w:rPr>
          <w:rFonts w:hint="eastAsia" w:ascii="仿宋_GB2312" w:hAnsi="仿宋_GB2312" w:eastAsia="仿宋_GB2312" w:cs="仿宋_GB2312"/>
          <w:b w:val="0"/>
          <w:bCs w:val="0"/>
          <w:color w:val="000000" w:themeColor="text1"/>
          <w:sz w:val="32"/>
          <w:szCs w:val="32"/>
          <w14:textFill>
            <w14:solidFill>
              <w14:schemeClr w14:val="tx1"/>
            </w14:solidFill>
          </w14:textFill>
        </w:rPr>
        <w:t>司法调解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相互</w:t>
      </w:r>
      <w:r>
        <w:rPr>
          <w:rFonts w:hint="eastAsia" w:ascii="仿宋_GB2312" w:hAnsi="仿宋_GB2312" w:eastAsia="仿宋_GB2312" w:cs="仿宋_GB2312"/>
          <w:b w:val="0"/>
          <w:bCs w:val="0"/>
          <w:color w:val="000000" w:themeColor="text1"/>
          <w:sz w:val="32"/>
          <w:szCs w:val="32"/>
          <w14:textFill>
            <w14:solidFill>
              <w14:schemeClr w14:val="tx1"/>
            </w14:solidFill>
          </w14:textFill>
        </w:rPr>
        <w:t>衔接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、协调联动工作机制</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积极运用</w:t>
      </w:r>
      <w:r>
        <w:rPr>
          <w:rFonts w:hint="eastAsia" w:ascii="仿宋_GB2312" w:hAnsi="仿宋_GB2312" w:eastAsia="仿宋_GB2312" w:cs="仿宋_GB2312"/>
          <w:b w:val="0"/>
          <w:bCs w:val="0"/>
          <w:color w:val="000000" w:themeColor="text1"/>
          <w:sz w:val="32"/>
          <w:szCs w:val="32"/>
          <w14:textFill>
            <w14:solidFill>
              <w14:schemeClr w14:val="tx1"/>
            </w14:solidFill>
          </w14:textFill>
        </w:rPr>
        <w:t>矛盾纠纷多元化解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工作信息系统</w:t>
      </w:r>
      <w:r>
        <w:rPr>
          <w:rFonts w:hint="eastAsia" w:ascii="仿宋_GB2312" w:hAnsi="仿宋_GB2312" w:eastAsia="仿宋_GB2312" w:cs="仿宋_GB2312"/>
          <w:b w:val="0"/>
          <w:bCs w:val="0"/>
          <w:color w:val="000000" w:themeColor="text1"/>
          <w:sz w:val="32"/>
          <w:szCs w:val="32"/>
          <w14:textFill>
            <w14:solidFill>
              <w14:schemeClr w14:val="tx1"/>
            </w14:solidFill>
          </w14:textFill>
        </w:rPr>
        <w:t>，发挥大数据在调解中的作用，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实现信息互通、资源共享，有效预防和化解矛盾纠纷。（责任单位：市委政法委、市法院、市检察院、市司法局、市市场监管局、市交通运输局、市公安局、市生态环境局、市人力资源社会保障局、市自然资源和规划局等市直有关部门）</w:t>
      </w:r>
    </w:p>
    <w:p>
      <w:pPr>
        <w:pStyle w:val="2"/>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44.</w:t>
      </w:r>
      <w:r>
        <w:rPr>
          <w:rFonts w:hint="eastAsia" w:ascii="仿宋_GB2312" w:hAnsi="仿宋_GB2312" w:eastAsia="仿宋_GB2312" w:cs="仿宋_GB2312"/>
          <w:b w:val="0"/>
          <w:bCs w:val="0"/>
          <w:color w:val="000000" w:themeColor="text1"/>
          <w:sz w:val="32"/>
          <w:szCs w:val="32"/>
          <w14:textFill>
            <w14:solidFill>
              <w14:schemeClr w14:val="tx1"/>
            </w14:solidFill>
          </w14:textFill>
        </w:rPr>
        <w:t>有序推进行政裁决工作。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按照省级公布的行政裁决事项指导清单，</w:t>
      </w:r>
      <w:r>
        <w:rPr>
          <w:rFonts w:hint="eastAsia" w:ascii="仿宋_GB2312" w:hAnsi="仿宋_GB2312" w:eastAsia="仿宋_GB2312" w:cs="仿宋_GB2312"/>
          <w:b w:val="0"/>
          <w:bCs w:val="0"/>
          <w:color w:val="000000" w:themeColor="text1"/>
          <w:sz w:val="32"/>
          <w:szCs w:val="32"/>
          <w:lang w:val="zh-TW" w:eastAsia="zh-TW"/>
          <w14:textFill>
            <w14:solidFill>
              <w14:schemeClr w14:val="tx1"/>
            </w14:solidFill>
          </w14:textFill>
        </w:rPr>
        <w:t>将行政裁决</w:t>
      </w:r>
      <w:r>
        <w:rPr>
          <w:rFonts w:hint="eastAsia" w:ascii="仿宋_GB2312" w:hAnsi="仿宋_GB2312" w:eastAsia="仿宋_GB2312" w:cs="仿宋_GB2312"/>
          <w:b w:val="0"/>
          <w:bCs w:val="0"/>
          <w:color w:val="000000" w:themeColor="text1"/>
          <w:sz w:val="32"/>
          <w:szCs w:val="32"/>
          <w:lang w:val="zh-TW"/>
          <w14:textFill>
            <w14:solidFill>
              <w14:schemeClr w14:val="tx1"/>
            </w14:solidFill>
          </w14:textFill>
        </w:rPr>
        <w:t>事项</w:t>
      </w:r>
      <w:r>
        <w:rPr>
          <w:rFonts w:hint="eastAsia" w:ascii="仿宋_GB2312" w:hAnsi="仿宋_GB2312" w:eastAsia="仿宋_GB2312" w:cs="仿宋_GB2312"/>
          <w:b w:val="0"/>
          <w:bCs w:val="0"/>
          <w:color w:val="000000" w:themeColor="text1"/>
          <w:sz w:val="32"/>
          <w:szCs w:val="32"/>
          <w:lang w:val="zh-TW" w:eastAsia="zh-TW"/>
          <w14:textFill>
            <w14:solidFill>
              <w14:schemeClr w14:val="tx1"/>
            </w14:solidFill>
          </w14:textFill>
        </w:rPr>
        <w:t>纳入</w:t>
      </w:r>
      <w:r>
        <w:rPr>
          <w:rFonts w:hint="eastAsia" w:ascii="仿宋_GB2312" w:hAnsi="仿宋_GB2312" w:eastAsia="仿宋_GB2312" w:cs="仿宋_GB2312"/>
          <w:b w:val="0"/>
          <w:bCs w:val="0"/>
          <w:color w:val="000000" w:themeColor="text1"/>
          <w:sz w:val="32"/>
          <w:szCs w:val="32"/>
          <w:lang w:val="zh-TW" w:eastAsia="zh-CN"/>
          <w14:textFill>
            <w14:solidFill>
              <w14:schemeClr w14:val="tx1"/>
            </w14:solidFill>
          </w14:textFill>
        </w:rPr>
        <w:t>权责</w:t>
      </w:r>
      <w:r>
        <w:rPr>
          <w:rFonts w:hint="eastAsia" w:ascii="仿宋_GB2312" w:hAnsi="仿宋_GB2312" w:eastAsia="仿宋_GB2312" w:cs="仿宋_GB2312"/>
          <w:b w:val="0"/>
          <w:bCs w:val="0"/>
          <w:color w:val="000000" w:themeColor="text1"/>
          <w:sz w:val="32"/>
          <w:szCs w:val="32"/>
          <w:lang w:val="zh-TW" w:eastAsia="zh-TW"/>
          <w14:textFill>
            <w14:solidFill>
              <w14:schemeClr w14:val="tx1"/>
            </w14:solidFill>
          </w14:textFill>
        </w:rPr>
        <w:t>清单</w:t>
      </w:r>
      <w:r>
        <w:rPr>
          <w:rFonts w:hint="eastAsia" w:ascii="仿宋_GB2312" w:hAnsi="仿宋_GB2312" w:eastAsia="仿宋_GB2312" w:cs="仿宋_GB2312"/>
          <w:b w:val="0"/>
          <w:bCs w:val="0"/>
          <w:color w:val="000000" w:themeColor="text1"/>
          <w:sz w:val="32"/>
          <w:szCs w:val="32"/>
          <w:lang w:val="zh-TW" w:eastAsia="zh-CN"/>
          <w14:textFill>
            <w14:solidFill>
              <w14:schemeClr w14:val="tx1"/>
            </w14:solidFill>
          </w14:textFill>
        </w:rPr>
        <w:t>管理。严格履行行政裁决职责，对依法受理的需在法定期限内做出的裁决，不得以非法事由拒绝受理或久拖不决，坚决防治不作为、乱作为。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落实行政裁决工作程序、法律文书和操作规范，明确</w:t>
      </w:r>
      <w:r>
        <w:rPr>
          <w:rFonts w:hint="eastAsia" w:ascii="仿宋_GB2312" w:hAnsi="仿宋_GB2312" w:eastAsia="仿宋_GB2312" w:cs="仿宋_GB2312"/>
          <w:b w:val="0"/>
          <w:bCs w:val="0"/>
          <w:color w:val="000000" w:themeColor="text1"/>
          <w:sz w:val="32"/>
          <w:szCs w:val="32"/>
          <w14:textFill>
            <w14:solidFill>
              <w14:schemeClr w14:val="tx1"/>
            </w14:solidFill>
          </w14:textFill>
        </w:rPr>
        <w:t>行政裁决申请、受理、回避、证据、调解、审理、执行、期间和送达等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要求，实现行政裁决的专业化、规范化、制度化。（责任单位：市委编办、市</w:t>
      </w:r>
      <w:r>
        <w:rPr>
          <w:rFonts w:hint="eastAsia" w:ascii="仿宋_GB2312" w:hAnsi="仿宋_GB2312" w:eastAsia="仿宋_GB2312" w:cs="仿宋_GB2312"/>
          <w:b w:val="0"/>
          <w:bCs w:val="0"/>
          <w:color w:val="000000" w:themeColor="text1"/>
          <w:sz w:val="32"/>
          <w:szCs w:val="32"/>
          <w14:textFill>
            <w14:solidFill>
              <w14:schemeClr w14:val="tx1"/>
            </w14:solidFill>
          </w14:textFill>
        </w:rPr>
        <w:t>司法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市自然资源规划局、市市场监管局、市水利局、市财政局、市交通运输局等具有行政裁决权的市直有关部门）</w:t>
      </w:r>
    </w:p>
    <w:p>
      <w:pPr>
        <w:pStyle w:val="2"/>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45.</w:t>
      </w:r>
      <w:r>
        <w:rPr>
          <w:rFonts w:hint="eastAsia" w:ascii="仿宋_GB2312" w:hAnsi="仿宋_GB2312" w:eastAsia="仿宋_GB2312" w:cs="仿宋_GB2312"/>
          <w:b w:val="0"/>
          <w:bCs w:val="0"/>
          <w:color w:val="000000" w:themeColor="text1"/>
          <w:sz w:val="32"/>
          <w:szCs w:val="32"/>
          <w14:textFill>
            <w14:solidFill>
              <w14:schemeClr w14:val="tx1"/>
            </w14:solidFill>
          </w14:textFill>
        </w:rPr>
        <w:t>深化行政复议体制改革。落实《遂宁市行政复议体制改革实施方案》，整合行政复议职责，合理调配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编制资源，确保行政复议机构人员配备与工作实际相适应</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到</w:t>
      </w:r>
      <w:r>
        <w:rPr>
          <w:rFonts w:hint="eastAsia" w:ascii="仿宋_GB2312" w:hAnsi="仿宋_GB2312" w:eastAsia="仿宋_GB2312" w:cs="仿宋_GB2312"/>
          <w:b w:val="0"/>
          <w:bCs w:val="0"/>
          <w:color w:val="000000" w:themeColor="text1"/>
          <w:sz w:val="32"/>
          <w:szCs w:val="32"/>
          <w14:textFill>
            <w14:solidFill>
              <w14:schemeClr w14:val="tx1"/>
            </w14:solidFill>
          </w14:textFill>
        </w:rPr>
        <w:t>2022年年底前基本形成公正权威、统一高效的行政复议体制。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加强行政复议工作保障，将行政复议工作经费列入本级人民政府预算，配备必要的办案设施。（责任单位：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市委编办、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司法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局、市财政局等）</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46.</w:t>
      </w:r>
      <w:r>
        <w:rPr>
          <w:rFonts w:hint="eastAsia" w:ascii="仿宋_GB2312" w:hAnsi="仿宋_GB2312" w:eastAsia="仿宋_GB2312" w:cs="仿宋_GB2312"/>
          <w:b w:val="0"/>
          <w:bCs w:val="0"/>
          <w:color w:val="000000" w:themeColor="text1"/>
          <w:sz w:val="32"/>
          <w:szCs w:val="32"/>
          <w14:textFill>
            <w14:solidFill>
              <w14:schemeClr w14:val="tx1"/>
            </w14:solidFill>
          </w14:textFill>
        </w:rPr>
        <w:t>提高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行政复议办案</w:t>
      </w:r>
      <w:r>
        <w:rPr>
          <w:rFonts w:hint="eastAsia" w:ascii="仿宋_GB2312" w:hAnsi="仿宋_GB2312" w:eastAsia="仿宋_GB2312" w:cs="仿宋_GB2312"/>
          <w:b w:val="0"/>
          <w:bCs w:val="0"/>
          <w:color w:val="000000" w:themeColor="text1"/>
          <w:sz w:val="32"/>
          <w:szCs w:val="32"/>
          <w14:textFill>
            <w14:solidFill>
              <w14:schemeClr w14:val="tx1"/>
            </w14:solidFill>
          </w14:textFill>
        </w:rPr>
        <w:t>质量和效率。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充分发挥</w:t>
      </w:r>
      <w:r>
        <w:rPr>
          <w:rFonts w:hint="eastAsia" w:ascii="仿宋_GB2312" w:hAnsi="仿宋_GB2312" w:eastAsia="仿宋_GB2312" w:cs="仿宋_GB2312"/>
          <w:b w:val="0"/>
          <w:bCs w:val="0"/>
          <w:color w:val="000000" w:themeColor="text1"/>
          <w:sz w:val="32"/>
          <w:szCs w:val="32"/>
          <w14:textFill>
            <w14:solidFill>
              <w14:schemeClr w14:val="tx1"/>
            </w14:solidFill>
          </w14:textFill>
        </w:rPr>
        <w:t>行政复议委员会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作用</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为重大、疑难、复杂</w:t>
      </w:r>
      <w:r>
        <w:rPr>
          <w:rFonts w:hint="eastAsia" w:ascii="仿宋_GB2312" w:hAnsi="仿宋_GB2312" w:eastAsia="仿宋_GB2312" w:cs="仿宋_GB2312"/>
          <w:b w:val="0"/>
          <w:bCs w:val="0"/>
          <w:color w:val="000000" w:themeColor="text1"/>
          <w:sz w:val="32"/>
          <w:szCs w:val="32"/>
          <w14:textFill>
            <w14:solidFill>
              <w14:schemeClr w14:val="tx1"/>
            </w14:solidFill>
          </w14:textFill>
        </w:rPr>
        <w:t>行政复议案件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提供咨询意见</w:t>
      </w:r>
      <w:r>
        <w:rPr>
          <w:rFonts w:hint="eastAsia" w:ascii="仿宋_GB2312" w:hAnsi="仿宋_GB2312" w:eastAsia="仿宋_GB2312" w:cs="仿宋_GB2312"/>
          <w:b w:val="0"/>
          <w:bCs w:val="0"/>
          <w:color w:val="000000" w:themeColor="text1"/>
          <w:sz w:val="32"/>
          <w:szCs w:val="32"/>
          <w14:textFill>
            <w14:solidFill>
              <w14:schemeClr w14:val="tx1"/>
            </w14:solidFill>
          </w14:textFill>
        </w:rPr>
        <w:t>。优化行政复议审理机制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，完善行政复议案件受理、审理、决定等工作流程，</w:t>
      </w:r>
      <w:r>
        <w:rPr>
          <w:rFonts w:hint="eastAsia" w:ascii="仿宋_GB2312" w:hAnsi="仿宋_GB2312" w:eastAsia="仿宋_GB2312" w:cs="仿宋_GB2312"/>
          <w:b w:val="0"/>
          <w:bCs w:val="0"/>
          <w:color w:val="000000" w:themeColor="text1"/>
          <w:sz w:val="32"/>
          <w:szCs w:val="32"/>
          <w14:textFill>
            <w14:solidFill>
              <w14:schemeClr w14:val="tx1"/>
            </w14:solidFill>
          </w14:textFill>
        </w:rPr>
        <w:t>推行案件审理听证制度以及案件审理会审、会商制度。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w:t>
      </w:r>
      <w:r>
        <w:rPr>
          <w:rFonts w:hint="eastAsia" w:ascii="仿宋_GB2312" w:hAnsi="仿宋_GB2312" w:eastAsia="仿宋_GB2312" w:cs="仿宋_GB2312"/>
          <w:b w:val="0"/>
          <w:bCs w:val="0"/>
          <w:color w:val="000000" w:themeColor="text1"/>
          <w:sz w:val="32"/>
          <w:szCs w:val="32"/>
          <w14:textFill>
            <w14:solidFill>
              <w14:schemeClr w14:val="tx1"/>
            </w14:solidFill>
          </w14:textFill>
        </w:rPr>
        <w:t>司法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局等）</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规范行政应诉工作。落实行政机关负责人出庭应诉制度，对涉及重大公共利益、社会高度关注或者可能引发群体性事件的案件，被诉行政机关负责人出庭应诉率达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100%。支持法院依法受理和审理行政案件，切实履行生效裁判。支持检察院开展行政诉讼监督工作和行政公益诉讼，积极主动履行职责或者纠正违法行为。健全完善司法建议、检察建议反馈跟踪机制，及时办复率达100%。（</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市法院、市检察院、</w:t>
      </w:r>
      <w:r>
        <w:rPr>
          <w:rFonts w:hint="eastAsia" w:ascii="仿宋_GB2312" w:hAnsi="仿宋_GB2312" w:eastAsia="仿宋_GB2312" w:cs="仿宋_GB2312"/>
          <w:b w:val="0"/>
          <w:bCs w:val="0"/>
          <w:color w:val="000000" w:themeColor="text1"/>
          <w:sz w:val="32"/>
          <w:szCs w:val="32"/>
          <w14:textFill>
            <w14:solidFill>
              <w14:schemeClr w14:val="tx1"/>
            </w14:solidFill>
          </w14:textFill>
        </w:rPr>
        <w:t>市司法局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48.</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加强行政应诉能力建设。每年召开</w:t>
      </w:r>
      <w:r>
        <w:rPr>
          <w:rFonts w:hint="eastAsia" w:ascii="仿宋_GB2312" w:hAnsi="仿宋_GB2312" w:eastAsia="仿宋_GB2312" w:cs="仿宋_GB2312"/>
          <w:b w:val="0"/>
          <w:bCs w:val="0"/>
          <w:color w:val="000000" w:themeColor="text1"/>
          <w:sz w:val="32"/>
          <w:szCs w:val="32"/>
          <w14:textFill>
            <w14:solidFill>
              <w14:schemeClr w14:val="tx1"/>
            </w14:solidFill>
          </w14:textFill>
        </w:rPr>
        <w:t>府院联席会议，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强化</w:t>
      </w:r>
      <w:r>
        <w:rPr>
          <w:rFonts w:hint="eastAsia" w:ascii="仿宋_GB2312" w:hAnsi="仿宋_GB2312" w:eastAsia="仿宋_GB2312" w:cs="仿宋_GB2312"/>
          <w:b w:val="0"/>
          <w:bCs w:val="0"/>
          <w:color w:val="000000" w:themeColor="text1"/>
          <w:sz w:val="32"/>
          <w:szCs w:val="32"/>
          <w14:textFill>
            <w14:solidFill>
              <w14:schemeClr w14:val="tx1"/>
            </w14:solidFill>
          </w14:textFill>
        </w:rPr>
        <w:t>行政与司法良性互动。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定期</w:t>
      </w:r>
      <w:r>
        <w:rPr>
          <w:rFonts w:hint="eastAsia" w:ascii="仿宋_GB2312" w:hAnsi="仿宋_GB2312" w:eastAsia="仿宋_GB2312" w:cs="仿宋_GB2312"/>
          <w:b w:val="0"/>
          <w:bCs w:val="0"/>
          <w:color w:val="000000" w:themeColor="text1"/>
          <w:sz w:val="32"/>
          <w:szCs w:val="32"/>
          <w14:textFill>
            <w14:solidFill>
              <w14:schemeClr w14:val="tx1"/>
            </w14:solidFill>
          </w14:textFill>
        </w:rPr>
        <w:t>组织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旁听庭审、</w:t>
      </w:r>
      <w:r>
        <w:rPr>
          <w:rFonts w:hint="eastAsia" w:ascii="仿宋_GB2312" w:hAnsi="仿宋_GB2312" w:eastAsia="仿宋_GB2312" w:cs="仿宋_GB2312"/>
          <w:b w:val="0"/>
          <w:bCs w:val="0"/>
          <w:color w:val="000000" w:themeColor="text1"/>
          <w:sz w:val="32"/>
          <w:szCs w:val="32"/>
          <w14:textFill>
            <w14:solidFill>
              <w14:schemeClr w14:val="tx1"/>
            </w14:solidFill>
          </w14:textFill>
        </w:rPr>
        <w:t>案件研讨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、集中培训等活动</w:t>
      </w:r>
      <w:r>
        <w:rPr>
          <w:rFonts w:hint="eastAsia" w:ascii="仿宋_GB2312" w:hAnsi="仿宋_GB2312" w:eastAsia="仿宋_GB2312" w:cs="仿宋_GB2312"/>
          <w:b w:val="0"/>
          <w:bCs w:val="0"/>
          <w:color w:val="000000" w:themeColor="text1"/>
          <w:sz w:val="32"/>
          <w:szCs w:val="32"/>
          <w14:textFill>
            <w14:solidFill>
              <w14:schemeClr w14:val="tx1"/>
            </w14:solidFill>
          </w14:textFill>
        </w:rPr>
        <w:t>，提高行政机关负责人、行政应诉人员的行政应诉能力。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市法院、</w:t>
      </w:r>
      <w:r>
        <w:rPr>
          <w:rFonts w:hint="eastAsia" w:ascii="仿宋_GB2312" w:hAnsi="仿宋_GB2312" w:eastAsia="仿宋_GB2312" w:cs="仿宋_GB2312"/>
          <w:b w:val="0"/>
          <w:bCs w:val="0"/>
          <w:color w:val="000000" w:themeColor="text1"/>
          <w:sz w:val="32"/>
          <w:szCs w:val="32"/>
          <w14:textFill>
            <w14:solidFill>
              <w14:schemeClr w14:val="tx1"/>
            </w14:solidFill>
          </w14:textFill>
        </w:rPr>
        <w:t>市司法局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themeColor="text1"/>
          <w:kern w:val="0"/>
          <w:sz w:val="32"/>
          <w:szCs w:val="32"/>
          <w:shd w:val="clear" w:color="auto" w:fill="FFFFFF"/>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shd w:val="clear" w:color="auto" w:fill="FFFFFF"/>
          <w:lang w:eastAsia="zh-CN"/>
          <w14:textFill>
            <w14:solidFill>
              <w14:schemeClr w14:val="tx1"/>
            </w14:solidFill>
          </w14:textFill>
        </w:rPr>
        <w:t>（七）健全行政权力制约和监督体系，促进行政权力规范透明运行</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FFFFFF"/>
          <w:lang w:val="en-US" w:eastAsia="zh-CN"/>
          <w14:textFill>
            <w14:solidFill>
              <w14:schemeClr w14:val="tx1"/>
            </w14:solidFill>
          </w14:textFill>
        </w:rPr>
        <w:t>49.加强人大监督。每年3月1日前向同级人大及其常委会报告法治政府建设情况，听取人大代表意见，及时研究办理人大代表建议。配合人大开展法律法规实施情况检查，积极做好现行法律法规的实施和宣传。（</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市政府办公室、市司法局等</w:t>
      </w:r>
      <w:r>
        <w:rPr>
          <w:rFonts w:hint="eastAsia" w:ascii="仿宋_GB2312" w:hAnsi="仿宋_GB2312" w:eastAsia="仿宋_GB2312" w:cs="仿宋_GB2312"/>
          <w:b w:val="0"/>
          <w:bCs w:val="0"/>
          <w:color w:val="000000" w:themeColor="text1"/>
          <w:kern w:val="0"/>
          <w:sz w:val="32"/>
          <w:szCs w:val="32"/>
          <w:shd w:val="clear" w:color="auto" w:fill="FFFFFF"/>
          <w:lang w:val="en-US" w:eastAsia="zh-CN"/>
          <w14:textFill>
            <w14:solidFill>
              <w14:schemeClr w14:val="tx1"/>
            </w14:solidFill>
          </w14:textFill>
        </w:rPr>
        <w:t>）</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50.加强专门</w:t>
      </w:r>
      <w:r>
        <w:rPr>
          <w:rFonts w:hint="eastAsia" w:ascii="仿宋_GB2312" w:hAnsi="仿宋_GB2312" w:eastAsia="仿宋_GB2312" w:cs="仿宋_GB2312"/>
          <w:b w:val="0"/>
          <w:bCs w:val="0"/>
          <w:color w:val="000000" w:themeColor="text1"/>
          <w:sz w:val="32"/>
          <w:szCs w:val="32"/>
          <w14:textFill>
            <w14:solidFill>
              <w14:schemeClr w14:val="tx1"/>
            </w14:solidFill>
          </w14:textFill>
        </w:rPr>
        <w:t>监督。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加强审计监督，</w:t>
      </w:r>
      <w:r>
        <w:rPr>
          <w:rFonts w:hint="eastAsia" w:ascii="仿宋_GB2312" w:hAnsi="仿宋_GB2312" w:eastAsia="仿宋_GB2312" w:cs="仿宋_GB2312"/>
          <w:b w:val="0"/>
          <w:bCs w:val="0"/>
          <w:color w:val="000000" w:themeColor="text1"/>
          <w:sz w:val="32"/>
          <w:szCs w:val="32"/>
          <w14:textFill>
            <w14:solidFill>
              <w14:schemeClr w14:val="tx1"/>
            </w14:solidFill>
          </w14:textFill>
        </w:rPr>
        <w:t>聚焦民生资金、重大投资项目等推进预算执行审计全覆盖，扎实做好领导干部自然资源资产离任（任中）审计和经济责任审计。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加强统计监督，</w:t>
      </w:r>
      <w:r>
        <w:rPr>
          <w:rFonts w:hint="eastAsia" w:ascii="仿宋_GB2312" w:hAnsi="仿宋_GB2312" w:eastAsia="仿宋_GB2312" w:cs="仿宋_GB2312"/>
          <w:b w:val="0"/>
          <w:bCs w:val="0"/>
          <w:color w:val="000000" w:themeColor="text1"/>
          <w:sz w:val="32"/>
          <w:szCs w:val="32"/>
          <w14:textFill>
            <w14:solidFill>
              <w14:schemeClr w14:val="tx1"/>
            </w14:solidFill>
          </w14:textFill>
        </w:rPr>
        <w:t>严肃查处统计违法违纪行为，着力解决统计数据失真失实干扰决策判断、虚增群众获得感、透支党和政府公信力的问题。加强财会监督，规范政府收支行为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提高财政资金使用效益和会计信息质量。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审计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统计局、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财政</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51.</w:t>
      </w:r>
      <w:r>
        <w:rPr>
          <w:rFonts w:hint="eastAsia" w:ascii="仿宋_GB2312" w:hAnsi="仿宋_GB2312" w:eastAsia="仿宋_GB2312" w:cs="仿宋_GB2312"/>
          <w:b w:val="0"/>
          <w:bCs w:val="0"/>
          <w:color w:val="000000" w:themeColor="text1"/>
          <w:sz w:val="32"/>
          <w:szCs w:val="32"/>
          <w14:textFill>
            <w14:solidFill>
              <w14:schemeClr w14:val="tx1"/>
            </w14:solidFill>
          </w14:textFill>
        </w:rPr>
        <w:t>强化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群众</w:t>
      </w:r>
      <w:r>
        <w:rPr>
          <w:rFonts w:hint="eastAsia" w:ascii="仿宋_GB2312" w:hAnsi="仿宋_GB2312" w:eastAsia="仿宋_GB2312" w:cs="仿宋_GB2312"/>
          <w:b w:val="0"/>
          <w:bCs w:val="0"/>
          <w:color w:val="000000" w:themeColor="text1"/>
          <w:sz w:val="32"/>
          <w:szCs w:val="32"/>
          <w14:textFill>
            <w14:solidFill>
              <w14:schemeClr w14:val="tx1"/>
            </w14:solidFill>
          </w14:textFill>
        </w:rPr>
        <w:t>监督。充分利用12345热线、市长信箱、电视等平台，及时接收、查处和反馈群众举报的违法行为，不断提高投诉办理速度，提升处理问题实效。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（责任单位：市政府办公室等）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52.加强</w:t>
      </w:r>
      <w:r>
        <w:rPr>
          <w:rFonts w:hint="eastAsia" w:ascii="仿宋_GB2312" w:hAnsi="仿宋_GB2312" w:eastAsia="仿宋_GB2312" w:cs="仿宋_GB2312"/>
          <w:b w:val="0"/>
          <w:bCs w:val="0"/>
          <w:color w:val="000000" w:themeColor="text1"/>
          <w:sz w:val="32"/>
          <w:szCs w:val="32"/>
          <w14:textFill>
            <w14:solidFill>
              <w14:schemeClr w14:val="tx1"/>
            </w14:solidFill>
          </w14:textFill>
        </w:rPr>
        <w:t>政府督查。突出督查重点，强化对跨区域、跨行业等重要事项的专项督查和对涉及民生领域的重大事项的决策督查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。落实</w:t>
      </w:r>
      <w:r>
        <w:rPr>
          <w:rFonts w:hint="eastAsia" w:ascii="仿宋_GB2312" w:hAnsi="仿宋_GB2312" w:eastAsia="仿宋_GB2312" w:cs="仿宋_GB2312"/>
          <w:b w:val="0"/>
          <w:bCs w:val="0"/>
          <w:color w:val="000000" w:themeColor="text1"/>
          <w:sz w:val="32"/>
          <w:szCs w:val="32"/>
          <w14:textFill>
            <w14:solidFill>
              <w14:schemeClr w14:val="tx1"/>
            </w14:solidFill>
          </w14:textFill>
        </w:rPr>
        <w:t>督查立项、限期报告、督促整改、情况通报、督查激励等制度，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规范督查程序，严格控制督查规模、范围、频次和时限</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（责任单位：市政府办公室等）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53.推进</w:t>
      </w:r>
      <w:r>
        <w:rPr>
          <w:rFonts w:hint="eastAsia" w:ascii="仿宋_GB2312" w:hAnsi="仿宋_GB2312" w:eastAsia="仿宋_GB2312" w:cs="仿宋_GB2312"/>
          <w:b w:val="0"/>
          <w:bCs w:val="0"/>
          <w:color w:val="000000" w:themeColor="text1"/>
          <w:sz w:val="32"/>
          <w:szCs w:val="32"/>
          <w14:textFill>
            <w14:solidFill>
              <w14:schemeClr w14:val="tx1"/>
            </w14:solidFill>
          </w14:textFill>
        </w:rPr>
        <w:t>行政执法监督。贯彻落实《四川省行政执法监督条例》，2024年年底前基本建成市县乡三级全覆盖的比较完善的行政执法协调监督工作体系。加强对优化营商环境、食品药品安全、生态环境保护和安全生产等重点领域的专项执法监督检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和案卷评查。全面落实行政执法责任，严格按照权责事项清单分解执法职权、确定执法责任。（责任单位：市司法局等）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54.发挥行政复议监督功能。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建立行政复议决定及行政复议意见书、建议书执行监督机制，</w:t>
      </w:r>
      <w:r>
        <w:rPr>
          <w:rFonts w:hint="eastAsia" w:ascii="仿宋_GB2312" w:hAnsi="仿宋_GB2312" w:eastAsia="仿宋_GB2312" w:cs="仿宋_GB2312"/>
          <w:b w:val="0"/>
          <w:bCs w:val="0"/>
          <w:color w:val="000000" w:themeColor="text1"/>
          <w:sz w:val="32"/>
          <w:szCs w:val="32"/>
          <w14:textFill>
            <w14:solidFill>
              <w14:schemeClr w14:val="tx1"/>
            </w14:solidFill>
          </w14:textFill>
        </w:rPr>
        <w:t>及时依法作出处理或者向有关机关提出完善制度、改进执法的建议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，实现个案监督纠错与倒逼依法行政的有机结合。（责任单位：市司法局等）</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sz w:val="32"/>
          <w:szCs w:val="32"/>
          <w14:textFill>
            <w14:solidFill>
              <w14:schemeClr w14:val="tx1"/>
            </w14:solidFill>
          </w14:textFill>
        </w:rPr>
        <w:t>深化基层政务公开。按照基层政务公开标准指引，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调整完善并</w:t>
      </w:r>
      <w:r>
        <w:rPr>
          <w:rFonts w:hint="eastAsia" w:ascii="仿宋_GB2312" w:hAnsi="仿宋_GB2312" w:eastAsia="仿宋_GB2312" w:cs="仿宋_GB2312"/>
          <w:b w:val="0"/>
          <w:bCs w:val="0"/>
          <w:color w:val="000000" w:themeColor="text1"/>
          <w:sz w:val="32"/>
          <w:szCs w:val="32"/>
          <w14:textFill>
            <w14:solidFill>
              <w14:schemeClr w14:val="tx1"/>
            </w14:solidFill>
          </w14:textFill>
        </w:rPr>
        <w:t>向社会发布基层政务公开标准目录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。对标深化政务公开促进基层政府治理能力提升工作要求，加快建设基层政务公开标准体系，</w:t>
      </w:r>
      <w:r>
        <w:rPr>
          <w:rFonts w:hint="eastAsia" w:ascii="仿宋_GB2312" w:hAnsi="仿宋_GB2312" w:eastAsia="仿宋_GB2312" w:cs="仿宋_GB2312"/>
          <w:b w:val="0"/>
          <w:bCs w:val="0"/>
          <w:color w:val="000000" w:themeColor="text1"/>
          <w:spacing w:val="-18"/>
          <w:sz w:val="32"/>
          <w:szCs w:val="32"/>
          <w:lang w:bidi="ar-SA"/>
          <w14:textFill>
            <w14:solidFill>
              <w14:schemeClr w14:val="tx1"/>
            </w14:solidFill>
          </w14:textFill>
        </w:rPr>
        <w:t>进一步完善工作机制、公开平台、专业队伍。</w:t>
      </w:r>
      <w:r>
        <w:rPr>
          <w:rFonts w:hint="eastAsia" w:ascii="仿宋_GB2312" w:hAnsi="仿宋_GB2312" w:eastAsia="仿宋_GB2312" w:cs="仿宋_GB2312"/>
          <w:b w:val="0"/>
          <w:bCs w:val="0"/>
          <w:color w:val="000000" w:themeColor="text1"/>
          <w:sz w:val="32"/>
          <w:szCs w:val="32"/>
          <w14:textFill>
            <w14:solidFill>
              <w14:schemeClr w14:val="tx1"/>
            </w14:solidFill>
          </w14:textFill>
        </w:rPr>
        <w:t>对涉及群众切身利益、需要广泛知晓的重要政策，建立政策“解读人”制度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探索开展“互联网+政务公开+基层治理”行动，完善乡镇（街道）、村（社区）基础数据，建好基层治理数据库并根据需要向群众开放使用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。（责任单位：市政府办公室等）</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加强重点领域信息公开。推进决策、执行、管理、服务、结果“五公开”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成渝地区双城经济圈建设、创新驱动发展、全面推进乡村振兴等重大战略部署的政策发布，加大惠民惠农惠企政策和资金发放等财政信息的公开力度，持续推进重大建设项目批准、实施和公共资源配置领域的信息公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,做到法定主动公开内容全部公开到位。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（责任单位：市政府办公室、市乡村振兴局、市农业农村局、市财政局、市发展改革委、市科技局等）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57.</w:t>
      </w:r>
      <w:r>
        <w:rPr>
          <w:rFonts w:hint="eastAsia" w:ascii="仿宋_GB2312" w:hAnsi="仿宋_GB2312" w:eastAsia="仿宋_GB2312" w:cs="仿宋_GB2312"/>
          <w:b w:val="0"/>
          <w:bCs w:val="0"/>
          <w:color w:val="000000" w:themeColor="text1"/>
          <w:sz w:val="32"/>
          <w:szCs w:val="32"/>
          <w14:textFill>
            <w14:solidFill>
              <w14:schemeClr w14:val="tx1"/>
            </w14:solidFill>
          </w14:textFill>
        </w:rPr>
        <w:t>提高依申请公开工作质量。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健全政府信息发布、审查、协调和动态管理等制度，</w:t>
      </w:r>
      <w:r>
        <w:rPr>
          <w:rFonts w:hint="eastAsia" w:ascii="仿宋_GB2312" w:hAnsi="仿宋_GB2312" w:eastAsia="仿宋_GB2312" w:cs="仿宋_GB2312"/>
          <w:b w:val="0"/>
          <w:bCs w:val="0"/>
          <w:color w:val="000000" w:themeColor="text1"/>
          <w:sz w:val="32"/>
          <w:szCs w:val="32"/>
          <w14:textFill>
            <w14:solidFill>
              <w14:schemeClr w14:val="tx1"/>
            </w14:solidFill>
          </w14:textFill>
        </w:rPr>
        <w:t>依法保障人民群众合理信息需求。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定期开展信息公开工作检查、评估。</w:t>
      </w:r>
      <w:r>
        <w:rPr>
          <w:rFonts w:hint="eastAsia" w:ascii="仿宋_GB2312" w:hAnsi="仿宋_GB2312" w:eastAsia="仿宋_GB2312" w:cs="仿宋_GB2312"/>
          <w:b w:val="0"/>
          <w:bCs w:val="0"/>
          <w:color w:val="000000" w:themeColor="text1"/>
          <w:sz w:val="32"/>
          <w:szCs w:val="32"/>
          <w14:textFill>
            <w14:solidFill>
              <w14:schemeClr w14:val="tx1"/>
            </w14:solidFill>
          </w14:textFill>
        </w:rPr>
        <w:t>对依申请公开事项的受理、审查、处理、答复等记录同步整理、及时归档。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（责任单位：市政府办公室等）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58.</w:t>
      </w:r>
      <w:r>
        <w:rPr>
          <w:rFonts w:hint="eastAsia" w:ascii="仿宋_GB2312" w:hAnsi="仿宋_GB2312" w:eastAsia="仿宋_GB2312" w:cs="仿宋_GB2312"/>
          <w:b w:val="0"/>
          <w:bCs w:val="0"/>
          <w:color w:val="000000" w:themeColor="text1"/>
          <w:sz w:val="32"/>
          <w:szCs w:val="32"/>
          <w14:textFill>
            <w14:solidFill>
              <w14:schemeClr w14:val="tx1"/>
            </w14:solidFill>
          </w14:textFill>
        </w:rPr>
        <w:t>推进政务诚信建设。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健全</w:t>
      </w:r>
      <w:r>
        <w:rPr>
          <w:rFonts w:hint="eastAsia" w:ascii="仿宋_GB2312" w:hAnsi="仿宋_GB2312" w:eastAsia="仿宋_GB2312" w:cs="仿宋_GB2312"/>
          <w:b w:val="0"/>
          <w:bCs w:val="0"/>
          <w:color w:val="000000" w:themeColor="text1"/>
          <w:sz w:val="32"/>
          <w:szCs w:val="32"/>
          <w14:textFill>
            <w14:solidFill>
              <w14:schemeClr w14:val="tx1"/>
            </w14:solidFill>
          </w14:textFill>
        </w:rPr>
        <w:t>政务诚信考核指标体系，把政务履约和守诺服务情况作为评价政府的内容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,按规定向社会公开全市各级政府和部门政务失信信息</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shd w:val="clear" w:color="auto" w:fill="FFFFFF"/>
          <w14:textFill>
            <w14:solidFill>
              <w14:schemeClr w14:val="tx1"/>
            </w14:solidFill>
          </w14:textFill>
        </w:rPr>
        <w:t>加大失信惩戒力度，</w:t>
      </w:r>
      <w:r>
        <w:rPr>
          <w:rFonts w:hint="eastAsia" w:ascii="仿宋_GB2312" w:hAnsi="仿宋_GB2312" w:eastAsia="仿宋_GB2312" w:cs="仿宋_GB2312"/>
          <w:b w:val="0"/>
          <w:bCs w:val="0"/>
          <w:color w:val="000000" w:themeColor="text1"/>
          <w:sz w:val="32"/>
          <w:szCs w:val="32"/>
          <w14:textFill>
            <w14:solidFill>
              <w14:schemeClr w14:val="tx1"/>
            </w14:solidFill>
          </w14:textFill>
        </w:rPr>
        <w:t>持续</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开展</w:t>
      </w:r>
      <w:r>
        <w:rPr>
          <w:rFonts w:hint="eastAsia" w:ascii="仿宋_GB2312" w:hAnsi="仿宋_GB2312" w:eastAsia="仿宋_GB2312" w:cs="仿宋_GB2312"/>
          <w:b w:val="0"/>
          <w:bCs w:val="0"/>
          <w:color w:val="000000" w:themeColor="text1"/>
          <w:kern w:val="0"/>
          <w:sz w:val="32"/>
          <w:szCs w:val="32"/>
          <w:shd w:val="clear" w:color="auto" w:fill="FFFFFF"/>
          <w14:textFill>
            <w14:solidFill>
              <w14:schemeClr w14:val="tx1"/>
            </w14:solidFill>
          </w14:textFill>
        </w:rPr>
        <w:t>债务融资、政府采购、招标投标、招商引资等领域的政府失信行为专项治理。逐步推行对乡镇人民政府及街道办事处开展政务诚信评价。</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（责任单位：市发展改革委、市政府办公室、人行市中心支行等）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themeColor="text1"/>
          <w:kern w:val="0"/>
          <w:sz w:val="32"/>
          <w:szCs w:val="32"/>
          <w:shd w:val="clear" w:color="auto" w:fill="FFFFFF"/>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shd w:val="clear" w:color="auto" w:fill="FFFFFF"/>
          <w14:textFill>
            <w14:solidFill>
              <w14:schemeClr w14:val="tx1"/>
            </w14:solidFill>
          </w14:textFill>
        </w:rPr>
        <w:t>（八）健全法治政府建设科技保障体系，全面建设数字法治政府</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FFFFFF"/>
          <w:lang w:val="en-US" w:eastAsia="zh-CN"/>
          <w14:textFill>
            <w14:solidFill>
              <w14:schemeClr w14:val="tx1"/>
            </w14:solidFill>
          </w14:textFill>
        </w:rPr>
        <w:t>59.</w:t>
      </w:r>
      <w:r>
        <w:rPr>
          <w:rFonts w:hint="eastAsia" w:ascii="仿宋_GB2312" w:hAnsi="仿宋_GB2312" w:eastAsia="仿宋_GB2312" w:cs="仿宋_GB2312"/>
          <w:b w:val="0"/>
          <w:bCs w:val="0"/>
          <w:color w:val="000000" w:themeColor="text1"/>
          <w:sz w:val="32"/>
          <w:szCs w:val="32"/>
          <w14:textFill>
            <w14:solidFill>
              <w14:schemeClr w14:val="tx1"/>
            </w14:solidFill>
          </w14:textFill>
        </w:rPr>
        <w:t>深化一体化政务服务平台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运用</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强化信息平台与政务服务实体</w:t>
      </w:r>
      <w:r>
        <w:rPr>
          <w:rFonts w:hint="eastAsia" w:ascii="仿宋_GB2312" w:hAnsi="仿宋_GB2312" w:eastAsia="仿宋_GB2312" w:cs="仿宋_GB2312"/>
          <w:b w:val="0"/>
          <w:bCs w:val="0"/>
          <w:color w:val="000000" w:themeColor="text1"/>
          <w:sz w:val="32"/>
          <w:szCs w:val="32"/>
          <w14:textFill>
            <w14:solidFill>
              <w14:schemeClr w14:val="tx1"/>
            </w14:solidFill>
          </w14:textFill>
        </w:rPr>
        <w:t>大厅功能互补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、与县（市、区）协同联动，与省级政务服务平台深度融合</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实现从</w:t>
      </w:r>
      <w:r>
        <w:rPr>
          <w:rFonts w:hint="eastAsia" w:ascii="仿宋_GB2312" w:hAnsi="仿宋_GB2312" w:eastAsia="仿宋_GB2312" w:cs="仿宋_GB2312"/>
          <w:b w:val="0"/>
          <w:bCs w:val="0"/>
          <w:i w:val="0"/>
          <w:i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到村（社区）网上政务全覆盖。推进政务服务向移动端延伸，大力推广应用</w:t>
      </w:r>
      <w:r>
        <w:rPr>
          <w:rFonts w:hint="eastAsia" w:ascii="仿宋_GB2312" w:hAnsi="仿宋_GB2312" w:eastAsia="仿宋_GB2312" w:cs="仿宋_GB2312"/>
          <w:b w:val="0"/>
          <w:bCs w:val="0"/>
          <w:i w:val="0"/>
          <w:i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天府通办</w:t>
      </w:r>
      <w:r>
        <w:rPr>
          <w:rFonts w:hint="eastAsia" w:ascii="仿宋_GB2312" w:hAnsi="仿宋_GB2312" w:eastAsia="仿宋_GB2312" w:cs="仿宋_GB2312"/>
          <w:b w:val="0"/>
          <w:bCs w:val="0"/>
          <w:i w:val="0"/>
          <w:i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移动端，实现更多政务服务事项</w:t>
      </w:r>
      <w:r>
        <w:rPr>
          <w:rFonts w:hint="eastAsia" w:ascii="仿宋_GB2312" w:hAnsi="仿宋_GB2312" w:eastAsia="仿宋_GB2312" w:cs="仿宋_GB2312"/>
          <w:b w:val="0"/>
          <w:bCs w:val="0"/>
          <w:i w:val="0"/>
          <w:i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掌上办</w:t>
      </w:r>
      <w:r>
        <w:rPr>
          <w:rFonts w:hint="eastAsia" w:ascii="仿宋_GB2312" w:hAnsi="仿宋_GB2312" w:eastAsia="仿宋_GB2312" w:cs="仿宋_GB2312"/>
          <w:b w:val="0"/>
          <w:bCs w:val="0"/>
          <w:i w:val="0"/>
          <w:i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（责任单位：市政务服务和大数据局等）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60.</w:t>
      </w:r>
      <w:r>
        <w:rPr>
          <w:rFonts w:hint="eastAsia" w:ascii="仿宋_GB2312" w:hAnsi="仿宋_GB2312" w:eastAsia="仿宋_GB2312" w:cs="仿宋_GB2312"/>
          <w:b w:val="0"/>
          <w:bCs w:val="0"/>
          <w:color w:val="000000" w:themeColor="text1"/>
          <w:sz w:val="32"/>
          <w:szCs w:val="32"/>
          <w14:textFill>
            <w14:solidFill>
              <w14:schemeClr w14:val="tx1"/>
            </w14:solidFill>
          </w14:textFill>
        </w:rPr>
        <w:t>加快</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制度</w:t>
      </w:r>
      <w:r>
        <w:rPr>
          <w:rFonts w:hint="eastAsia" w:ascii="仿宋_GB2312" w:hAnsi="仿宋_GB2312" w:eastAsia="仿宋_GB2312" w:cs="仿宋_GB2312"/>
          <w:b w:val="0"/>
          <w:bCs w:val="0"/>
          <w:color w:val="000000" w:themeColor="text1"/>
          <w:sz w:val="32"/>
          <w:szCs w:val="32"/>
          <w14:textFill>
            <w14:solidFill>
              <w14:schemeClr w14:val="tx1"/>
            </w14:solidFill>
          </w14:textFill>
        </w:rPr>
        <w:t>文件管理信息化。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根据中省要求将我市出台的地方性法规、政府规章、规范性文件纳入备案审查信息平台，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2023年年底前实现现行有效地方性法规、政府规章、规范性文件统一公开查询。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（责任单位：市政府办公室、市司法局等）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61.加强行政执法信息化建设。推广使用四川省行政执法证件管理系统，实现对行政执法人员资格信息动态管理、在线培训考试、执法人员数据统计分析。全面推进执法公示平台应用，积极推进“智慧执法”、掌上执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（责任单位：市司法局等）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62.</w:t>
      </w:r>
      <w:r>
        <w:rPr>
          <w:rFonts w:hint="eastAsia" w:ascii="仿宋_GB2312" w:hAnsi="仿宋_GB2312" w:eastAsia="仿宋_GB2312" w:cs="仿宋_GB2312"/>
          <w:b w:val="0"/>
          <w:bCs w:val="0"/>
          <w:color w:val="000000" w:themeColor="text1"/>
          <w:sz w:val="32"/>
          <w:szCs w:val="32"/>
          <w14:textFill>
            <w14:solidFill>
              <w14:schemeClr w14:val="tx1"/>
            </w14:solidFill>
          </w14:textFill>
        </w:rPr>
        <w:t>健全数据共享协调机制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进一步明确政务数据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采集汇聚、共享交换、应用管理、安全保障等相关方</w:t>
      </w:r>
      <w:r>
        <w:rPr>
          <w:rFonts w:hint="eastAsia" w:ascii="仿宋_GB2312" w:hAnsi="仿宋_GB2312" w:eastAsia="仿宋_GB2312" w:cs="仿宋_GB2312"/>
          <w:b w:val="0"/>
          <w:bCs w:val="0"/>
          <w:color w:val="000000" w:themeColor="text1"/>
          <w:sz w:val="32"/>
          <w:szCs w:val="32"/>
          <w14:textFill>
            <w14:solidFill>
              <w14:schemeClr w14:val="tx1"/>
            </w14:solidFill>
          </w14:textFill>
        </w:rPr>
        <w:t>的权利和责任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，推动数据共享和业务协同。加快推进身份认证、电子印章、电子证照等统一认定使用，实现电子证照跨地区、跨部门、跨层级共享应用。</w:t>
      </w:r>
      <w:r>
        <w:rPr>
          <w:rFonts w:hint="eastAsia" w:ascii="仿宋_GB2312" w:hAnsi="仿宋_GB2312" w:eastAsia="仿宋_GB2312" w:cs="仿宋_GB2312"/>
          <w:b w:val="0"/>
          <w:bCs w:val="0"/>
          <w:color w:val="000000" w:themeColor="text1"/>
          <w:sz w:val="32"/>
          <w:szCs w:val="32"/>
          <w14:textFill>
            <w14:solidFill>
              <w14:schemeClr w14:val="tx1"/>
            </w14:solidFill>
          </w14:textFill>
        </w:rPr>
        <w:t>对能够通过省一体化政务服务平台实现关联共享的证照，不再要求申请人提供实体证照。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（责任单位：市政务服务和大数据局等）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63.</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加强数据分析运用。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运用大数据</w:t>
      </w:r>
      <w:r>
        <w:rPr>
          <w:rFonts w:hint="eastAsia" w:ascii="仿宋_GB2312" w:hAnsi="仿宋_GB2312" w:eastAsia="仿宋_GB2312" w:cs="仿宋_GB2312"/>
          <w:b w:val="0"/>
          <w:bCs w:val="0"/>
          <w:color w:val="000000" w:themeColor="text1"/>
          <w:sz w:val="32"/>
          <w:szCs w:val="32"/>
          <w14:textFill>
            <w14:solidFill>
              <w14:schemeClr w14:val="tx1"/>
            </w14:solidFill>
          </w14:textFill>
        </w:rPr>
        <w:t>辅助行政决策、行政立法和行政执法工作，实现政府决策科学化、行政执法精准化、公共服务便民化。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在依法保护国家安全、商业秘密、自然人隐私和个人信息的同时，优先</w:t>
      </w:r>
      <w:r>
        <w:rPr>
          <w:rFonts w:hint="eastAsia" w:ascii="仿宋_GB2312" w:hAnsi="仿宋_GB2312" w:eastAsia="仿宋_GB2312" w:cs="仿宋_GB2312"/>
          <w:b w:val="0"/>
          <w:bCs w:val="0"/>
          <w:color w:val="000000" w:themeColor="text1"/>
          <w:kern w:val="0"/>
          <w:sz w:val="32"/>
          <w:szCs w:val="32"/>
          <w:shd w:val="clear" w:color="auto" w:fill="FFFFFF"/>
          <w14:textFill>
            <w14:solidFill>
              <w14:schemeClr w14:val="tx1"/>
            </w14:solidFill>
          </w14:textFill>
        </w:rPr>
        <w:t>推动民生保障、公共服务、市场监管等领域政府</w:t>
      </w:r>
      <w:r>
        <w:rPr>
          <w:rFonts w:hint="eastAsia" w:ascii="仿宋_GB2312" w:hAnsi="仿宋_GB2312" w:eastAsia="仿宋_GB2312" w:cs="仿宋_GB2312"/>
          <w:b w:val="0"/>
          <w:bCs w:val="0"/>
          <w:color w:val="000000" w:themeColor="text1"/>
          <w:kern w:val="0"/>
          <w:sz w:val="32"/>
          <w:szCs w:val="32"/>
          <w:shd w:val="clear" w:color="auto" w:fill="FFFFFF"/>
          <w:lang w:eastAsia="zh-CN"/>
          <w14:textFill>
            <w14:solidFill>
              <w14:schemeClr w14:val="tx1"/>
            </w14:solidFill>
          </w14:textFill>
        </w:rPr>
        <w:t>及公共服务机构</w:t>
      </w:r>
      <w:r>
        <w:rPr>
          <w:rFonts w:hint="eastAsia" w:ascii="仿宋_GB2312" w:hAnsi="仿宋_GB2312" w:eastAsia="仿宋_GB2312" w:cs="仿宋_GB2312"/>
          <w:b w:val="0"/>
          <w:bCs w:val="0"/>
          <w:color w:val="000000" w:themeColor="text1"/>
          <w:kern w:val="0"/>
          <w:sz w:val="32"/>
          <w:szCs w:val="32"/>
          <w:shd w:val="clear" w:color="auto" w:fill="FFFFFF"/>
          <w14:textFill>
            <w14:solidFill>
              <w14:schemeClr w14:val="tx1"/>
            </w14:solidFill>
          </w14:textFill>
        </w:rPr>
        <w:t>数据向社会有序开放。</w:t>
      </w:r>
      <w:r>
        <w:rPr>
          <w:rFonts w:hint="eastAsia" w:ascii="仿宋_GB2312" w:hAnsi="仿宋_GB2312" w:eastAsia="仿宋_GB2312" w:cs="仿宋_GB2312"/>
          <w:b w:val="0"/>
          <w:bCs w:val="0"/>
          <w:color w:val="000000" w:themeColor="text1"/>
          <w:sz w:val="32"/>
          <w:szCs w:val="32"/>
          <w14:textFill>
            <w14:solidFill>
              <w14:schemeClr w14:val="tx1"/>
            </w14:solidFill>
          </w14:textFill>
        </w:rPr>
        <w:t>建立健全地方大数据汇聚、存储、运用安全防控体系，实行数据分类分级保护，严控数据使用安全。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（责任单位：市政务服务和大数据局等）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64.</w:t>
      </w:r>
      <w:r>
        <w:rPr>
          <w:rFonts w:hint="eastAsia" w:ascii="仿宋_GB2312" w:hAnsi="仿宋_GB2312" w:eastAsia="仿宋_GB2312" w:cs="仿宋_GB2312"/>
          <w:b w:val="0"/>
          <w:bCs w:val="0"/>
          <w:color w:val="000000" w:themeColor="text1"/>
          <w:sz w:val="32"/>
          <w:szCs w:val="32"/>
          <w14:textFill>
            <w14:solidFill>
              <w14:schemeClr w14:val="tx1"/>
            </w14:solidFill>
          </w14:textFill>
        </w:rPr>
        <w:t>推进“互联网+监管”系统应用。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强化智慧监管建设，</w:t>
      </w:r>
      <w:r>
        <w:rPr>
          <w:rFonts w:hint="eastAsia" w:ascii="仿宋_GB2312" w:hAnsi="仿宋_GB2312" w:eastAsia="仿宋_GB2312" w:cs="仿宋_GB2312"/>
          <w:b w:val="0"/>
          <w:bCs w:val="0"/>
          <w:color w:val="000000" w:themeColor="text1"/>
          <w:sz w:val="32"/>
          <w:szCs w:val="32"/>
          <w14:textFill>
            <w14:solidFill>
              <w14:schemeClr w14:val="tx1"/>
            </w14:solidFill>
          </w14:textFill>
        </w:rPr>
        <w:t>全面提升运维保障能力和系统使用能力，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实现</w:t>
      </w:r>
      <w:r>
        <w:rPr>
          <w:rFonts w:hint="eastAsia" w:ascii="仿宋_GB2312" w:hAnsi="仿宋_GB2312" w:eastAsia="仿宋_GB2312" w:cs="仿宋_GB2312"/>
          <w:b w:val="0"/>
          <w:bCs w:val="0"/>
          <w:color w:val="000000" w:themeColor="text1"/>
          <w:sz w:val="32"/>
          <w:szCs w:val="32"/>
          <w14:textFill>
            <w14:solidFill>
              <w14:schemeClr w14:val="tx1"/>
            </w14:solidFill>
          </w14:textFill>
        </w:rPr>
        <w:t>监管事项全覆盖、监管过程全记录、监管数据可共享、监管结果可追溯</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。鼓励通过物联网、视联网等</w:t>
      </w:r>
      <w:r>
        <w:rPr>
          <w:rFonts w:hint="eastAsia" w:ascii="仿宋_GB2312" w:hAnsi="仿宋_GB2312" w:eastAsia="仿宋_GB2312" w:cs="仿宋_GB2312"/>
          <w:b w:val="0"/>
          <w:bCs w:val="0"/>
          <w:color w:val="000000" w:themeColor="text1"/>
          <w:sz w:val="32"/>
          <w:szCs w:val="32"/>
          <w14:textFill>
            <w14:solidFill>
              <w14:schemeClr w14:val="tx1"/>
            </w14:solidFill>
          </w14:textFill>
        </w:rPr>
        <w:t>非接触式监管方式，提升执法监管效率和预警防控能力。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（责任单位：市政务服务和大数据局、市市场监管局、市司法局等）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（九）健全遂潼川渝毗邻地区一体化发展先行区</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法治协同，服务保障高质量发展</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65.推进区域政策协同。探索经济区与行政区适度分离，打破行政壁垒，强化政策协同，着力制度创新和改革措施系统集成，形成可复制可推广的制度创新成果。推进两地有关试点政策相互推广。建立健全重大政策沟通协调机制，定期同步清理两地政府规章和行政规范性文件，对不适应区域协调发展的及时修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（责任单位：市政府办公室、市司法局等）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66.加强遂潼行政执法协同。强化遂潼联合执法、协作执法的组织统筹协调，加强食品药品、质量安全、交通运输、生态环境、劳动监察、文化旅游等领域跨区域执法协作，实现案件协查协办、投诉举报协作处理、执法信息互通共享。推进知识产权纠纷多元化解机制一体建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（责任单位：市市场监管局、市交通运输局、市生态环境局、市人力资源社会保障局、市文化广电旅游局等有行政执法权的市直有关部</w:t>
      </w:r>
      <w:r>
        <w:rPr>
          <w:rFonts w:hint="eastAsia" w:ascii="仿宋_GB2312" w:hAnsi="仿宋_GB2312" w:eastAsia="仿宋_GB2312" w:cs="仿宋_GB2312"/>
          <w:b w:val="0"/>
          <w:bCs w:val="0"/>
          <w:color w:val="000000" w:themeColor="text1"/>
          <w:sz w:val="32"/>
          <w:szCs w:val="32"/>
          <w14:textFill>
            <w14:solidFill>
              <w14:schemeClr w14:val="tx1"/>
            </w14:solidFill>
          </w14:textFill>
        </w:rPr>
        <w:t>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67.推进政务服务便利共享。在部分中心镇设立政务服务副中心，持续推进高频政务服务事项“川渝通办”，完善跨区域服务事项清单。深化住房保障领域合作，推进房地产信息开发共享。加强跨区域公平竞争审查协作，适时开展交叉互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（责任单位：市政务服务和大数据局、市市场监管局、市住房城乡建设局、市发展改革委等市直有关部</w:t>
      </w:r>
      <w:r>
        <w:rPr>
          <w:rFonts w:hint="eastAsia" w:ascii="仿宋_GB2312" w:hAnsi="仿宋_GB2312" w:eastAsia="仿宋_GB2312" w:cs="仿宋_GB2312"/>
          <w:b w:val="0"/>
          <w:bCs w:val="0"/>
          <w:color w:val="000000" w:themeColor="text1"/>
          <w:sz w:val="32"/>
          <w:szCs w:val="32"/>
          <w14:textFill>
            <w14:solidFill>
              <w14:schemeClr w14:val="tx1"/>
            </w14:solidFill>
          </w14:textFill>
        </w:rPr>
        <w:t>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68.推进法律服务供给一体化。联合打造遂潼涪江创新产业园区公共法律服务中心和矛盾纠纷调解中心工作平台，完善遂潼边界矛盾纠纷调解协作机制，推动律师、公证、司法鉴定、仲裁等法律服务领域双向拓展。探索在遂潼毗邻地区围绕法治保障乡村振兴、基层依法治理等主题，因地制宜，共同设计、共同建设一批法治文化阵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（责任单位：市司法局等）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三、组织保障</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（十）</w:t>
      </w:r>
      <w:r>
        <w:rPr>
          <w:rFonts w:hint="eastAsia" w:ascii="楷体_GB2312" w:hAnsi="楷体_GB2312" w:eastAsia="楷体_GB2312" w:cs="楷体_GB2312"/>
          <w:b w:val="0"/>
          <w:bCs w:val="0"/>
          <w:color w:val="000000" w:themeColor="text1"/>
          <w:sz w:val="32"/>
          <w:szCs w:val="32"/>
          <w14:textFill>
            <w14:solidFill>
              <w14:schemeClr w14:val="tx1"/>
            </w14:solidFill>
          </w14:textFill>
        </w:rPr>
        <w:t>加强党的领导</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，完善法治政府建设推进机制</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69.</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加强党对法治政府建设工作的领导</w:t>
      </w:r>
      <w:r>
        <w:rPr>
          <w:rFonts w:hint="eastAsia" w:ascii="仿宋_GB2312" w:hAnsi="仿宋_GB2312" w:eastAsia="仿宋_GB2312" w:cs="仿宋_GB2312"/>
          <w:b w:val="0"/>
          <w:bCs w:val="0"/>
          <w:color w:val="000000" w:themeColor="text1"/>
          <w:sz w:val="32"/>
          <w:szCs w:val="32"/>
          <w14:textFill>
            <w14:solidFill>
              <w14:schemeClr w14:val="tx1"/>
            </w14:solidFill>
          </w14:textFill>
        </w:rPr>
        <w:t>。各级党委要深入学习领会习近平法治思想，将法治政府建设纳入本地经济社会发展总体规划和年度工作计划，与经济社会发展同部署、同推进、同督促、同考核、同奖惩。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安排</w:t>
      </w:r>
      <w:r>
        <w:rPr>
          <w:rFonts w:hint="eastAsia" w:ascii="仿宋_GB2312" w:hAnsi="仿宋_GB2312" w:eastAsia="仿宋_GB2312" w:cs="仿宋_GB2312"/>
          <w:b w:val="0"/>
          <w:bCs w:val="0"/>
          <w:color w:val="000000" w:themeColor="text1"/>
          <w:sz w:val="32"/>
          <w:szCs w:val="32"/>
          <w14:textFill>
            <w14:solidFill>
              <w14:schemeClr w14:val="tx1"/>
            </w14:solidFill>
          </w14:textFill>
        </w:rPr>
        <w:t>听取法治政府建设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汇报，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及时研究解决影响法治政府建设重大问题</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（责任单位：市委办公室、市政府办公室、市司法局等）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70.</w:t>
      </w:r>
      <w:r>
        <w:rPr>
          <w:rFonts w:hint="eastAsia" w:ascii="仿宋_GB2312" w:hAnsi="仿宋_GB2312" w:eastAsia="仿宋_GB2312" w:cs="仿宋_GB2312"/>
          <w:b w:val="0"/>
          <w:bCs w:val="0"/>
          <w:color w:val="000000" w:themeColor="text1"/>
          <w:sz w:val="32"/>
          <w:szCs w:val="32"/>
          <w14:textFill>
            <w14:solidFill>
              <w14:schemeClr w14:val="tx1"/>
            </w14:solidFill>
          </w14:textFill>
        </w:rPr>
        <w:t>压实政府主体责任。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各级政府要在党委统一领导下，切实履行推进法治政府建设主体责任，</w:t>
      </w:r>
      <w:r>
        <w:rPr>
          <w:rFonts w:hint="eastAsia" w:ascii="仿宋_GB2312" w:hAnsi="仿宋_GB2312" w:eastAsia="仿宋_GB2312" w:cs="仿宋_GB2312"/>
          <w:b w:val="0"/>
          <w:bCs w:val="0"/>
          <w:color w:val="000000" w:themeColor="text1"/>
          <w:sz w:val="32"/>
          <w:szCs w:val="32"/>
          <w14:textFill>
            <w14:solidFill>
              <w14:schemeClr w14:val="tx1"/>
            </w14:solidFill>
          </w14:textFill>
        </w:rPr>
        <w:t>制订本地法治政府建设年度计划并组织实施，研究解决法治政府建设重大问题并及时向本级党委请示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报告</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（责任单位：市政府办公室、市司法局等）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71.</w:t>
      </w:r>
      <w:r>
        <w:rPr>
          <w:rFonts w:hint="eastAsia" w:ascii="仿宋_GB2312" w:hAnsi="仿宋_GB2312" w:eastAsia="仿宋_GB2312" w:cs="仿宋_GB2312"/>
          <w:b w:val="0"/>
          <w:bCs w:val="0"/>
          <w:color w:val="000000" w:themeColor="text1"/>
          <w:sz w:val="32"/>
          <w:szCs w:val="32"/>
          <w14:textFill>
            <w14:solidFill>
              <w14:schemeClr w14:val="tx1"/>
            </w14:solidFill>
          </w14:textFill>
        </w:rPr>
        <w:t>严格落实第一责任人职责。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各级</w:t>
      </w:r>
      <w:r>
        <w:rPr>
          <w:rFonts w:hint="eastAsia" w:ascii="仿宋_GB2312" w:hAnsi="仿宋_GB2312" w:eastAsia="仿宋_GB2312" w:cs="仿宋_GB2312"/>
          <w:b w:val="0"/>
          <w:bCs w:val="0"/>
          <w:color w:val="000000" w:themeColor="text1"/>
          <w:sz w:val="32"/>
          <w:szCs w:val="32"/>
          <w14:textFill>
            <w14:solidFill>
              <w14:schemeClr w14:val="tx1"/>
            </w14:solidFill>
          </w14:textFill>
        </w:rPr>
        <w:t>政府及其部门主要负责人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要切实</w:t>
      </w:r>
      <w:r>
        <w:rPr>
          <w:rFonts w:hint="eastAsia" w:ascii="仿宋_GB2312" w:hAnsi="仿宋_GB2312" w:eastAsia="仿宋_GB2312" w:cs="仿宋_GB2312"/>
          <w:b w:val="0"/>
          <w:bCs w:val="0"/>
          <w:color w:val="000000" w:themeColor="text1"/>
          <w:sz w:val="32"/>
          <w:szCs w:val="32"/>
          <w14:textFill>
            <w14:solidFill>
              <w14:schemeClr w14:val="tx1"/>
            </w14:solidFill>
          </w14:textFill>
        </w:rPr>
        <w:t>履行推进法治政府建设第一责任人职责，聚焦法治政府建设重点工作任务，定期部署推进、完善工作举措、强化组织实施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。将履行推进法治政府建设第一责任人职责情况纳入党政主要负责人年终述职内容，作为领导干部年度考核的重要参考。（责任单位：市委组织部、市司法局等）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开展</w:t>
      </w:r>
      <w:r>
        <w:rPr>
          <w:rFonts w:hint="eastAsia" w:ascii="仿宋_GB2312" w:hAnsi="仿宋_GB2312" w:eastAsia="仿宋_GB2312" w:cs="仿宋_GB2312"/>
          <w:b w:val="0"/>
          <w:bCs w:val="0"/>
          <w:color w:val="000000" w:themeColor="text1"/>
          <w:sz w:val="32"/>
          <w:szCs w:val="32"/>
          <w14:textFill>
            <w14:solidFill>
              <w14:schemeClr w14:val="tx1"/>
            </w14:solidFill>
          </w14:textFill>
        </w:rPr>
        <w:t>法治政府建设示范创建活动。</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积极创建</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国家级</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和省级</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法治政府建设示范</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市（县、区）和示范项目，</w:t>
      </w:r>
      <w:r>
        <w:rPr>
          <w:rFonts w:hint="eastAsia" w:ascii="仿宋_GB2312" w:hAnsi="仿宋_GB2312" w:eastAsia="仿宋_GB2312" w:cs="仿宋_GB2312"/>
          <w:b w:val="0"/>
          <w:bCs w:val="0"/>
          <w:color w:val="000000" w:themeColor="text1"/>
          <w:sz w:val="32"/>
          <w:szCs w:val="32"/>
          <w14:textFill>
            <w14:solidFill>
              <w14:schemeClr w14:val="tx1"/>
            </w14:solidFill>
          </w14:textFill>
        </w:rPr>
        <w:t>以创建促提升，以示范带发展，促进法治政府建设区域协调推进、整体提升。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（责任单位：市司法局等）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强化督察考核评估</w:t>
      </w:r>
      <w:r>
        <w:rPr>
          <w:rFonts w:hint="eastAsia" w:ascii="仿宋_GB2312" w:hAnsi="仿宋_GB2312" w:eastAsia="仿宋_GB2312" w:cs="仿宋_GB2312"/>
          <w:b w:val="0"/>
          <w:bCs w:val="0"/>
          <w:color w:val="000000" w:themeColor="text1"/>
          <w:sz w:val="32"/>
          <w:szCs w:val="32"/>
          <w14:textFill>
            <w14:solidFill>
              <w14:schemeClr w14:val="tx1"/>
            </w14:solidFill>
          </w14:textFill>
        </w:rPr>
        <w:t>。落实《法治政府建设与责任落实督察工作规定》，开展重点督察和专项督察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强化对督察整改工作的跟踪督办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开展法治政府建设第三方评估，发现和补齐短板弱项。将法治政府建设纳入党委、政府目标绩效考评体系，</w:t>
      </w:r>
      <w:r>
        <w:rPr>
          <w:rFonts w:hint="eastAsia" w:ascii="仿宋_GB2312" w:hAnsi="仿宋_GB2312" w:eastAsia="仿宋_GB2312" w:cs="仿宋_GB2312"/>
          <w:b w:val="0"/>
          <w:bCs w:val="0"/>
          <w:color w:val="000000" w:themeColor="text1"/>
          <w:sz w:val="32"/>
          <w:szCs w:val="32"/>
          <w14:textFill>
            <w14:solidFill>
              <w14:schemeClr w14:val="tx1"/>
            </w14:solidFill>
          </w14:textFill>
        </w:rPr>
        <w:t>加大考核力度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，提升考核权重</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（责任单位：市委绩效办、市政府办公室、市司法局等）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严格执行</w:t>
      </w:r>
      <w:r>
        <w:rPr>
          <w:rFonts w:hint="eastAsia" w:ascii="仿宋_GB2312" w:hAnsi="仿宋_GB2312" w:eastAsia="仿宋_GB2312" w:cs="仿宋_GB2312"/>
          <w:b w:val="0"/>
          <w:bCs w:val="0"/>
          <w:color w:val="000000" w:themeColor="text1"/>
          <w:sz w:val="32"/>
          <w:szCs w:val="32"/>
          <w14:textFill>
            <w14:solidFill>
              <w14:schemeClr w14:val="tx1"/>
            </w14:solidFill>
          </w14:textFill>
        </w:rPr>
        <w:t>年度报告制度。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各级政府和县级以上政府部门要按规定主动报告并公开本地、本部门上一年度推进法治政府建设工作情况。进一步规范</w:t>
      </w:r>
      <w:r>
        <w:rPr>
          <w:rFonts w:hint="eastAsia" w:ascii="仿宋_GB2312" w:hAnsi="仿宋_GB2312" w:eastAsia="仿宋_GB2312" w:cs="仿宋_GB2312"/>
          <w:b w:val="0"/>
          <w:bCs w:val="0"/>
          <w:color w:val="000000" w:themeColor="text1"/>
          <w:sz w:val="32"/>
          <w:szCs w:val="32"/>
          <w14:textFill>
            <w14:solidFill>
              <w14:schemeClr w14:val="tx1"/>
            </w14:solidFill>
          </w14:textFill>
        </w:rPr>
        <w:t>年度报告的内容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形式和公开途径</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探索在政府门户网站设置“法治政府建设年度报告公开专栏”，集中公布年度报告，方便群众查询监督。（责任单位：市政府办公室、市司法局等）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75.</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加强法治教育培训。</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健全领导干部学法用法机制，</w:t>
      </w:r>
      <w:r>
        <w:rPr>
          <w:rFonts w:hint="eastAsia" w:ascii="仿宋_GB2312" w:hAnsi="仿宋_GB2312" w:eastAsia="仿宋_GB2312" w:cs="仿宋_GB2312"/>
          <w:b w:val="0"/>
          <w:bCs w:val="0"/>
          <w:color w:val="000000" w:themeColor="text1"/>
          <w:sz w:val="32"/>
          <w:szCs w:val="32"/>
          <w14:textFill>
            <w14:solidFill>
              <w14:schemeClr w14:val="tx1"/>
            </w14:solidFill>
          </w14:textFill>
        </w:rPr>
        <w:t>各级政府领导班子每年至少举办两次法治专题讲座，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市、县政府</w:t>
      </w:r>
      <w:r>
        <w:rPr>
          <w:rFonts w:hint="eastAsia" w:ascii="仿宋_GB2312" w:hAnsi="仿宋_GB2312" w:eastAsia="仿宋_GB2312" w:cs="仿宋_GB2312"/>
          <w:b w:val="0"/>
          <w:bCs w:val="0"/>
          <w:color w:val="000000" w:themeColor="text1"/>
          <w:sz w:val="32"/>
          <w:szCs w:val="32"/>
          <w14:textFill>
            <w14:solidFill>
              <w14:schemeClr w14:val="tx1"/>
            </w14:solidFill>
          </w14:textFill>
        </w:rPr>
        <w:t>承担行政执法职能的部门负责人任期内至少接受一次法治专题脱产培训</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将</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习近平法治思想</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、宪法</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列入各级党委（党组）理论学习</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中心组学习内容，</w:t>
      </w:r>
      <w:r>
        <w:rPr>
          <w:rFonts w:hint="eastAsia" w:ascii="仿宋_GB2312" w:hAnsi="仿宋_GB2312" w:eastAsia="仿宋_GB2312" w:cs="仿宋_GB2312"/>
          <w:b w:val="0"/>
          <w:bCs w:val="0"/>
          <w:color w:val="000000" w:themeColor="text1"/>
          <w:sz w:val="32"/>
          <w:szCs w:val="32"/>
          <w14:textFill>
            <w14:solidFill>
              <w14:schemeClr w14:val="tx1"/>
            </w14:solidFill>
          </w14:textFill>
        </w:rPr>
        <w:t>不断提高运用法治思维和法治方式深化改革、推动发展、化解矛盾、维护稳定、应对风险的能力。将法治教育纳入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各级政府工作人员初任培训、任职培训</w:t>
      </w:r>
      <w:r>
        <w:rPr>
          <w:rFonts w:hint="eastAsia" w:ascii="仿宋_GB2312" w:hAnsi="仿宋_GB2312" w:eastAsia="仿宋_GB2312" w:cs="仿宋_GB2312"/>
          <w:b w:val="0"/>
          <w:bCs w:val="0"/>
          <w:color w:val="000000" w:themeColor="text1"/>
          <w:sz w:val="32"/>
          <w:szCs w:val="32"/>
          <w14:textFill>
            <w14:solidFill>
              <w14:schemeClr w14:val="tx1"/>
            </w14:solidFill>
          </w14:textFill>
        </w:rPr>
        <w:t>的必训内容，列为党校（行政学院）、干部学院的重点课程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加强对机关工作人员的法律知识教育</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建立行政机关工作人员应知应会法律法规清单。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运用四川省国家工作人员学法考法平台开展线上学法考法。（责任单位：市委组织部、市委宣传部、市委党校、市司法局等）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76.加强法治机构建设。加强各部门和市、县政府法治机构建设，配齐配强专业法律人才。优化基层司法所职能定位，强化司法所在社会治理中的基础性作用，保障人员力量、经费等与其职责任务相适应。</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（责任单位：市委组织部、市委编办、市司法局、市财政局等）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77.</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加强</w:t>
      </w:r>
      <w:r>
        <w:rPr>
          <w:rFonts w:hint="eastAsia" w:ascii="仿宋_GB2312" w:hAnsi="仿宋_GB2312" w:eastAsia="仿宋_GB2312" w:cs="仿宋_GB2312"/>
          <w:b w:val="0"/>
          <w:bCs w:val="0"/>
          <w:color w:val="000000" w:themeColor="text1"/>
          <w:sz w:val="32"/>
          <w:szCs w:val="32"/>
          <w14:textFill>
            <w14:solidFill>
              <w14:schemeClr w14:val="tx1"/>
            </w14:solidFill>
          </w14:textFill>
        </w:rPr>
        <w:t>法治队伍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政府立法、备案审查、行政裁决、行政复议应诉、行政执法监督工作人员的培养和储备，有计划的组织开展专题培训，鼓励参加全国统一法律职业资格考试，不断提高行政执法人员素质。对在法治政府建设中作出突出贡献的单位和个人，按规定给予表彰奖励。（责任单位：市委组织部、市司法局、市人力资源社会保障局、市财政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78.</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加强法律顾问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和公职律师</w:t>
      </w:r>
      <w:r>
        <w:rPr>
          <w:rFonts w:hint="eastAsia" w:ascii="仿宋_GB2312" w:hAnsi="仿宋_GB2312" w:eastAsia="仿宋_GB2312" w:cs="仿宋_GB2312"/>
          <w:b w:val="0"/>
          <w:bCs w:val="0"/>
          <w:color w:val="000000" w:themeColor="text1"/>
          <w:sz w:val="32"/>
          <w:szCs w:val="32"/>
          <w14:textFill>
            <w14:solidFill>
              <w14:schemeClr w14:val="tx1"/>
            </w14:solidFill>
          </w14:textFill>
        </w:rPr>
        <w:t>队伍建设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健全以内部法律顾问为主体、外聘法律顾问为补充的法律顾问队伍。加强外聘法律顾问聘任、培训、考核、奖惩等管理，有条件的县（市、区）可以实施外聘法律顾问“统采统管”，统一聘请法学专家或律师事务所，共同承担本级政府和部门的法律顾问工作，相关经费纳入本级财政预算予以保障。加强公职律师队伍建设，健全激励机制，为公职律师发挥作用创造条件、提供保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2025年底前实现县级以上党政机关公职律师工作全覆盖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。（责任单位：市财政局、市司法局等）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79.</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加强理论研究。围绕重点领域、重大事项、热点问题，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发挥</w:t>
      </w:r>
      <w:r>
        <w:rPr>
          <w:rFonts w:hint="eastAsia" w:ascii="仿宋_GB2312" w:hAnsi="仿宋_GB2312" w:eastAsia="仿宋_GB2312" w:cs="仿宋_GB2312"/>
          <w:b w:val="0"/>
          <w:bCs w:val="0"/>
          <w:color w:val="000000" w:themeColor="text1"/>
          <w:sz w:val="32"/>
          <w:szCs w:val="32"/>
          <w14:textFill>
            <w14:solidFill>
              <w14:schemeClr w14:val="tx1"/>
            </w14:solidFill>
          </w14:textFill>
        </w:rPr>
        <w:t>党校（行政学院）、高等院校、科研机构、法学会等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智力优势</w:t>
      </w:r>
      <w:r>
        <w:rPr>
          <w:rFonts w:hint="eastAsia" w:ascii="仿宋_GB2312" w:hAnsi="仿宋_GB2312" w:eastAsia="仿宋_GB2312" w:cs="仿宋_GB2312"/>
          <w:b w:val="0"/>
          <w:bCs w:val="0"/>
          <w:color w:val="000000" w:themeColor="text1"/>
          <w:sz w:val="32"/>
          <w:szCs w:val="32"/>
          <w14:textFill>
            <w14:solidFill>
              <w14:schemeClr w14:val="tx1"/>
            </w14:solidFill>
          </w14:textFill>
        </w:rPr>
        <w:t>，推动法治政府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w:t>
      </w:r>
      <w:r>
        <w:rPr>
          <w:rFonts w:hint="eastAsia" w:ascii="仿宋_GB2312" w:hAnsi="仿宋_GB2312" w:eastAsia="仿宋_GB2312" w:cs="仿宋_GB2312"/>
          <w:b w:val="0"/>
          <w:bCs w:val="0"/>
          <w:color w:val="000000" w:themeColor="text1"/>
          <w:sz w:val="32"/>
          <w:szCs w:val="32"/>
          <w14:textFill>
            <w14:solidFill>
              <w14:schemeClr w14:val="tx1"/>
            </w14:solidFill>
          </w14:textFill>
        </w:rPr>
        <w:t>理论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和实务</w:t>
      </w:r>
      <w:r>
        <w:rPr>
          <w:rFonts w:hint="eastAsia" w:ascii="仿宋_GB2312" w:hAnsi="仿宋_GB2312" w:eastAsia="仿宋_GB2312" w:cs="仿宋_GB2312"/>
          <w:b w:val="0"/>
          <w:bCs w:val="0"/>
          <w:color w:val="000000" w:themeColor="text1"/>
          <w:sz w:val="32"/>
          <w:szCs w:val="32"/>
          <w14:textFill>
            <w14:solidFill>
              <w14:schemeClr w14:val="tx1"/>
            </w14:solidFill>
          </w14:textFill>
        </w:rPr>
        <w:t>研究不断</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深入</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（责任单位：市委党校、市教育体育局、市司法局等）</w:t>
      </w:r>
    </w:p>
    <w:p>
      <w:pPr>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b w:val="0"/>
          <w:bCs w:val="0"/>
          <w:color w:val="000000" w:themeColor="text1"/>
          <w:sz w:val="32"/>
          <w:szCs w:val="32"/>
          <w14:textFill>
            <w14:solidFill>
              <w14:schemeClr w14:val="tx1"/>
            </w14:solidFill>
          </w14:textFill>
        </w:rPr>
        <w:t>加大宣传力度。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认真贯彻“八五普法规划”，</w:t>
      </w:r>
      <w:r>
        <w:rPr>
          <w:rFonts w:hint="eastAsia" w:ascii="仿宋_GB2312" w:hAnsi="仿宋_GB2312" w:eastAsia="仿宋_GB2312" w:cs="仿宋_GB2312"/>
          <w:b w:val="0"/>
          <w:bCs w:val="0"/>
          <w:color w:val="000000" w:themeColor="text1"/>
          <w:sz w:val="32"/>
          <w:szCs w:val="32"/>
          <w14:textFill>
            <w14:solidFill>
              <w14:schemeClr w14:val="tx1"/>
            </w14:solidFill>
          </w14:textFill>
        </w:rPr>
        <w:t>落实“谁执法谁普法”责任制，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完善国家机关普法责任清单制度，</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加强行政许可、行政处罚、行政强制、行政复议、行政诉讼等相关法律规范的普法宣传，推进法治宣传与法治实践深度融合。</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广泛宣传法治政府建设重要部署、亮点经验和工作成</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就</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营造政府依法行政，群众知法守法的</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良好氛围。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（责任单位：市委宣传部、市司法局等）</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984" w:right="158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78317"/>
    <w:multiLevelType w:val="singleLevel"/>
    <w:tmpl w:val="A0D783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1150F7E"/>
    <w:rsid w:val="0204742C"/>
    <w:rsid w:val="04612F66"/>
    <w:rsid w:val="0575448A"/>
    <w:rsid w:val="068A3BAA"/>
    <w:rsid w:val="07BD681B"/>
    <w:rsid w:val="08FA0E71"/>
    <w:rsid w:val="0FF3D67E"/>
    <w:rsid w:val="10F92E76"/>
    <w:rsid w:val="12837716"/>
    <w:rsid w:val="158E4DEB"/>
    <w:rsid w:val="18735B93"/>
    <w:rsid w:val="188032F2"/>
    <w:rsid w:val="1AE97B43"/>
    <w:rsid w:val="1FEF4A96"/>
    <w:rsid w:val="1FFEE9FC"/>
    <w:rsid w:val="202F0D7C"/>
    <w:rsid w:val="205242F2"/>
    <w:rsid w:val="20EB5EB9"/>
    <w:rsid w:val="219F4E67"/>
    <w:rsid w:val="22356D36"/>
    <w:rsid w:val="22F835EB"/>
    <w:rsid w:val="23700025"/>
    <w:rsid w:val="24FF7E4E"/>
    <w:rsid w:val="26B13B1D"/>
    <w:rsid w:val="26F6E2AB"/>
    <w:rsid w:val="27AA0124"/>
    <w:rsid w:val="28585D2A"/>
    <w:rsid w:val="2AD43590"/>
    <w:rsid w:val="2CDA0B3F"/>
    <w:rsid w:val="2D67E23D"/>
    <w:rsid w:val="3207424B"/>
    <w:rsid w:val="351A7FC7"/>
    <w:rsid w:val="357D3A43"/>
    <w:rsid w:val="357F8137"/>
    <w:rsid w:val="3717E52A"/>
    <w:rsid w:val="377DB2CC"/>
    <w:rsid w:val="37EFEFA2"/>
    <w:rsid w:val="3BE838BC"/>
    <w:rsid w:val="3BF7AF60"/>
    <w:rsid w:val="3CFFDBD7"/>
    <w:rsid w:val="3D3C3C4B"/>
    <w:rsid w:val="3E6F4898"/>
    <w:rsid w:val="3E6FE368"/>
    <w:rsid w:val="3EF54D16"/>
    <w:rsid w:val="3F5B6832"/>
    <w:rsid w:val="3F6F32D1"/>
    <w:rsid w:val="3F7B7553"/>
    <w:rsid w:val="3F9B79B0"/>
    <w:rsid w:val="40BC4452"/>
    <w:rsid w:val="412E4B44"/>
    <w:rsid w:val="422610C0"/>
    <w:rsid w:val="42510572"/>
    <w:rsid w:val="42641245"/>
    <w:rsid w:val="43151407"/>
    <w:rsid w:val="44FD3E56"/>
    <w:rsid w:val="473311D8"/>
    <w:rsid w:val="480A0916"/>
    <w:rsid w:val="487C72D5"/>
    <w:rsid w:val="4A1947CF"/>
    <w:rsid w:val="4A788E3D"/>
    <w:rsid w:val="4C0A26B1"/>
    <w:rsid w:val="4CA84FB5"/>
    <w:rsid w:val="4FD37D8B"/>
    <w:rsid w:val="4FD78E01"/>
    <w:rsid w:val="51FED7AB"/>
    <w:rsid w:val="53014725"/>
    <w:rsid w:val="55FEE665"/>
    <w:rsid w:val="563D4892"/>
    <w:rsid w:val="56E56395"/>
    <w:rsid w:val="57DBEE69"/>
    <w:rsid w:val="59677586"/>
    <w:rsid w:val="5B961C35"/>
    <w:rsid w:val="5BBE86E1"/>
    <w:rsid w:val="5BF39E3B"/>
    <w:rsid w:val="5C2515ED"/>
    <w:rsid w:val="5DDF59FF"/>
    <w:rsid w:val="5EDFAADF"/>
    <w:rsid w:val="5EFA7CCD"/>
    <w:rsid w:val="5EFE50E0"/>
    <w:rsid w:val="5F118366"/>
    <w:rsid w:val="5F7A6D37"/>
    <w:rsid w:val="5FDF21C6"/>
    <w:rsid w:val="5FDFDADF"/>
    <w:rsid w:val="5FFBD901"/>
    <w:rsid w:val="61F9FFD0"/>
    <w:rsid w:val="62A63B7B"/>
    <w:rsid w:val="639FCF4E"/>
    <w:rsid w:val="64BEF8A0"/>
    <w:rsid w:val="64DE5673"/>
    <w:rsid w:val="66A31EDE"/>
    <w:rsid w:val="66F64E65"/>
    <w:rsid w:val="6738329F"/>
    <w:rsid w:val="67EF8B52"/>
    <w:rsid w:val="67F7400B"/>
    <w:rsid w:val="682D1339"/>
    <w:rsid w:val="69A71843"/>
    <w:rsid w:val="69FED8D8"/>
    <w:rsid w:val="6A2B7DCF"/>
    <w:rsid w:val="6B9F1C5A"/>
    <w:rsid w:val="6BAE43D6"/>
    <w:rsid w:val="6EFA5986"/>
    <w:rsid w:val="6F7EB362"/>
    <w:rsid w:val="6FBD18A2"/>
    <w:rsid w:val="6FBF0531"/>
    <w:rsid w:val="70927820"/>
    <w:rsid w:val="70AB1C6A"/>
    <w:rsid w:val="71B2D23B"/>
    <w:rsid w:val="73575B8E"/>
    <w:rsid w:val="7386615C"/>
    <w:rsid w:val="738B28BA"/>
    <w:rsid w:val="738C3416"/>
    <w:rsid w:val="73F6CAFB"/>
    <w:rsid w:val="762F6432"/>
    <w:rsid w:val="76DA55EF"/>
    <w:rsid w:val="77B70ECD"/>
    <w:rsid w:val="77BFC80E"/>
    <w:rsid w:val="77DE4A76"/>
    <w:rsid w:val="77E5740E"/>
    <w:rsid w:val="77FF65E3"/>
    <w:rsid w:val="77FFA755"/>
    <w:rsid w:val="79DE9783"/>
    <w:rsid w:val="79EF0FC1"/>
    <w:rsid w:val="7AF84DB2"/>
    <w:rsid w:val="7B6F3977"/>
    <w:rsid w:val="7BBF17F7"/>
    <w:rsid w:val="7BD6A85F"/>
    <w:rsid w:val="7BE7B0BB"/>
    <w:rsid w:val="7BFF3A9E"/>
    <w:rsid w:val="7CBD3BAC"/>
    <w:rsid w:val="7CC58332"/>
    <w:rsid w:val="7CFF6C31"/>
    <w:rsid w:val="7D5771BD"/>
    <w:rsid w:val="7D6FF3C2"/>
    <w:rsid w:val="7D71C34C"/>
    <w:rsid w:val="7D7D1F14"/>
    <w:rsid w:val="7DFE9057"/>
    <w:rsid w:val="7DFFAD92"/>
    <w:rsid w:val="7ED7670B"/>
    <w:rsid w:val="7EDD8401"/>
    <w:rsid w:val="7EF2D80B"/>
    <w:rsid w:val="7F0A146F"/>
    <w:rsid w:val="7F154919"/>
    <w:rsid w:val="7F75D443"/>
    <w:rsid w:val="7F7D58EC"/>
    <w:rsid w:val="7F7FE46B"/>
    <w:rsid w:val="7FA27363"/>
    <w:rsid w:val="7FDFD30E"/>
    <w:rsid w:val="7FE71CD5"/>
    <w:rsid w:val="8FFD7B75"/>
    <w:rsid w:val="97FB0827"/>
    <w:rsid w:val="99DB9268"/>
    <w:rsid w:val="9CB8B2B3"/>
    <w:rsid w:val="9D4B5CFF"/>
    <w:rsid w:val="9E5F047E"/>
    <w:rsid w:val="A53B5C81"/>
    <w:rsid w:val="AAFFEF6C"/>
    <w:rsid w:val="AF8CA3BF"/>
    <w:rsid w:val="B78D153B"/>
    <w:rsid w:val="B7BBE1E1"/>
    <w:rsid w:val="B7EA2EE6"/>
    <w:rsid w:val="B7FB0AD8"/>
    <w:rsid w:val="B9AE8E50"/>
    <w:rsid w:val="B9EE477A"/>
    <w:rsid w:val="B9FB2095"/>
    <w:rsid w:val="BA7B23C6"/>
    <w:rsid w:val="BB7D10F7"/>
    <w:rsid w:val="BB7F5980"/>
    <w:rsid w:val="BBFBEE85"/>
    <w:rsid w:val="BD7D22AE"/>
    <w:rsid w:val="BDFF6CD8"/>
    <w:rsid w:val="BE7BB7F8"/>
    <w:rsid w:val="BE8B16EA"/>
    <w:rsid w:val="BF6BBA7C"/>
    <w:rsid w:val="BFE9450D"/>
    <w:rsid w:val="BFF7F3E0"/>
    <w:rsid w:val="BFFFD123"/>
    <w:rsid w:val="C3F379BD"/>
    <w:rsid w:val="CF5FBD4A"/>
    <w:rsid w:val="CF75642D"/>
    <w:rsid w:val="D2D82AD2"/>
    <w:rsid w:val="D3995100"/>
    <w:rsid w:val="D6EED09A"/>
    <w:rsid w:val="DAFF11B8"/>
    <w:rsid w:val="DB8FDAB3"/>
    <w:rsid w:val="DCED7F10"/>
    <w:rsid w:val="DDBE175B"/>
    <w:rsid w:val="DDDB5DE5"/>
    <w:rsid w:val="DDDDE311"/>
    <w:rsid w:val="DEBEBD0D"/>
    <w:rsid w:val="DFBED434"/>
    <w:rsid w:val="DFFD117C"/>
    <w:rsid w:val="DFFDEDA2"/>
    <w:rsid w:val="DFFF06B7"/>
    <w:rsid w:val="DFFFBEC8"/>
    <w:rsid w:val="E378D3C7"/>
    <w:rsid w:val="E7CE0911"/>
    <w:rsid w:val="E7D7009F"/>
    <w:rsid w:val="E9BFD7C4"/>
    <w:rsid w:val="E9DFF837"/>
    <w:rsid w:val="EBFFC69F"/>
    <w:rsid w:val="EE3E1EDC"/>
    <w:rsid w:val="EF3FB6DE"/>
    <w:rsid w:val="EFAF1034"/>
    <w:rsid w:val="EFFFB96A"/>
    <w:rsid w:val="F3D1B615"/>
    <w:rsid w:val="F3FF3304"/>
    <w:rsid w:val="F67F3C0F"/>
    <w:rsid w:val="F6FFD9D2"/>
    <w:rsid w:val="F73733AB"/>
    <w:rsid w:val="F7C70A67"/>
    <w:rsid w:val="F7D9F4C4"/>
    <w:rsid w:val="F7E579BA"/>
    <w:rsid w:val="F7F7E328"/>
    <w:rsid w:val="F7FB84CA"/>
    <w:rsid w:val="F7FE4B37"/>
    <w:rsid w:val="F7FF898E"/>
    <w:rsid w:val="F7FFA3FD"/>
    <w:rsid w:val="F7FFD50D"/>
    <w:rsid w:val="F8FC6BFC"/>
    <w:rsid w:val="F9F59731"/>
    <w:rsid w:val="F9FFC90C"/>
    <w:rsid w:val="FAED729E"/>
    <w:rsid w:val="FAEF885E"/>
    <w:rsid w:val="FB3ED001"/>
    <w:rsid w:val="FB77071C"/>
    <w:rsid w:val="FB78392F"/>
    <w:rsid w:val="FB7F4F8E"/>
    <w:rsid w:val="FBA506C0"/>
    <w:rsid w:val="FBBC51D0"/>
    <w:rsid w:val="FBDFED2F"/>
    <w:rsid w:val="FDBF4D2B"/>
    <w:rsid w:val="FE39779E"/>
    <w:rsid w:val="FE3F9C41"/>
    <w:rsid w:val="FE71C319"/>
    <w:rsid w:val="FE734873"/>
    <w:rsid w:val="FE7E87F1"/>
    <w:rsid w:val="FEFE33AD"/>
    <w:rsid w:val="FF4F45E3"/>
    <w:rsid w:val="FF7B4198"/>
    <w:rsid w:val="FF7D9424"/>
    <w:rsid w:val="FF857803"/>
    <w:rsid w:val="FFCA0444"/>
    <w:rsid w:val="FFDD543C"/>
    <w:rsid w:val="FFDF6EC0"/>
    <w:rsid w:val="FFF511B1"/>
    <w:rsid w:val="FFF63166"/>
    <w:rsid w:val="FFFD2BCC"/>
    <w:rsid w:val="FFFF2D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华文仿宋" w:hAnsi="华文仿宋" w:eastAsia="华文仿宋" w:cs="华文仿宋"/>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0"/>
    <w:rPr>
      <w:rFonts w:ascii="Calibri" w:hAnsi="Calibri" w:eastAsia="宋体" w:cs="Times New Roman"/>
      <w:sz w:val="24"/>
      <w:szCs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2018-07-26T23:11:00Z</dcterms:created>
  <dc:creator>d</dc:creator>
  <cp:lastModifiedBy>市司法局办公室</cp:lastModifiedBy>
  <cp:lastPrinted>2022-03-05T14:30:00Z</cp:lastPrinted>
  <dcterms:modified xsi:type="dcterms:W3CDTF">2022-03-08T09:10:05Z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2F1CC5EE1238423FB41175CAB41E9DA0</vt:lpwstr>
  </property>
</Properties>
</file>