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黑体"/>
        </w:rPr>
      </w:pPr>
      <w:r>
        <w:rPr>
          <w:rFonts w:hAnsi="黑体" w:eastAsia="黑体"/>
        </w:rPr>
        <w:t>附件</w:t>
      </w:r>
      <w:r>
        <w:rPr>
          <w:rFonts w:eastAsia="黑体"/>
        </w:rPr>
        <w:t>1</w:t>
      </w:r>
    </w:p>
    <w:p>
      <w:pPr>
        <w:spacing w:line="620" w:lineRule="exact"/>
        <w:rPr>
          <w:rFonts w:eastAsia="黑体"/>
        </w:rPr>
      </w:pPr>
    </w:p>
    <w:p>
      <w:pPr>
        <w:spacing w:line="620" w:lineRule="exact"/>
        <w:jc w:val="center"/>
        <w:rPr>
          <w:rFonts w:eastAsia="方正小标宋简体"/>
          <w:sz w:val="44"/>
          <w:szCs w:val="44"/>
        </w:rPr>
      </w:pPr>
      <w:bookmarkStart w:id="0" w:name="_GoBack"/>
      <w:r>
        <w:rPr>
          <w:rFonts w:hint="eastAsia" w:eastAsia="方正小标宋简体"/>
          <w:sz w:val="44"/>
          <w:szCs w:val="44"/>
        </w:rPr>
        <w:t>遂宁市现行有效行政规范性文件目录</w:t>
      </w:r>
      <w:bookmarkEnd w:id="0"/>
    </w:p>
    <w:tbl>
      <w:tblPr>
        <w:tblStyle w:val="6"/>
        <w:tblW w:w="13985" w:type="dxa"/>
        <w:tblInd w:w="0" w:type="dxa"/>
        <w:tblLayout w:type="fixed"/>
        <w:tblCellMar>
          <w:top w:w="15" w:type="dxa"/>
          <w:left w:w="15" w:type="dxa"/>
          <w:bottom w:w="15" w:type="dxa"/>
          <w:right w:w="15" w:type="dxa"/>
        </w:tblCellMar>
      </w:tblPr>
      <w:tblGrid>
        <w:gridCol w:w="424"/>
        <w:gridCol w:w="1351"/>
        <w:gridCol w:w="3786"/>
        <w:gridCol w:w="2324"/>
        <w:gridCol w:w="1572"/>
        <w:gridCol w:w="923"/>
        <w:gridCol w:w="1330"/>
        <w:gridCol w:w="1065"/>
        <w:gridCol w:w="1210"/>
      </w:tblGrid>
      <w:tr>
        <w:tblPrEx>
          <w:tblCellMar>
            <w:top w:w="15" w:type="dxa"/>
            <w:left w:w="15" w:type="dxa"/>
            <w:bottom w:w="15" w:type="dxa"/>
            <w:right w:w="15" w:type="dxa"/>
          </w:tblCellMar>
        </w:tblPrEx>
        <w:trPr>
          <w:tblHeader/>
        </w:trPr>
        <w:tc>
          <w:tcPr>
            <w:tcW w:w="4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黑体"/>
                <w:color w:val="000000"/>
                <w:sz w:val="21"/>
                <w:szCs w:val="21"/>
              </w:rPr>
            </w:pPr>
            <w:r>
              <w:rPr>
                <w:rFonts w:hAnsi="黑体" w:eastAsia="黑体"/>
                <w:color w:val="000000"/>
                <w:kern w:val="0"/>
                <w:sz w:val="21"/>
                <w:szCs w:val="21"/>
              </w:rPr>
              <w:t>序号</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黑体"/>
                <w:color w:val="000000"/>
                <w:sz w:val="21"/>
                <w:szCs w:val="21"/>
              </w:rPr>
            </w:pPr>
            <w:r>
              <w:rPr>
                <w:rFonts w:hAnsi="黑体" w:eastAsia="黑体"/>
                <w:color w:val="000000"/>
                <w:kern w:val="0"/>
                <w:sz w:val="21"/>
                <w:szCs w:val="21"/>
              </w:rPr>
              <w:t>起草部门</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黑体"/>
                <w:color w:val="000000"/>
                <w:sz w:val="21"/>
                <w:szCs w:val="21"/>
              </w:rPr>
            </w:pPr>
            <w:r>
              <w:rPr>
                <w:rFonts w:hAnsi="黑体" w:eastAsia="黑体"/>
                <w:color w:val="000000"/>
                <w:kern w:val="0"/>
                <w:sz w:val="21"/>
                <w:szCs w:val="21"/>
              </w:rPr>
              <w:t>文件名称</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黑体"/>
                <w:color w:val="000000"/>
                <w:sz w:val="21"/>
                <w:szCs w:val="21"/>
              </w:rPr>
            </w:pPr>
            <w:r>
              <w:rPr>
                <w:rFonts w:hint="eastAsia" w:hAnsi="黑体" w:eastAsia="黑体"/>
                <w:color w:val="000000"/>
                <w:kern w:val="0"/>
                <w:sz w:val="21"/>
                <w:szCs w:val="21"/>
              </w:rPr>
              <w:t>发</w:t>
            </w:r>
            <w:r>
              <w:rPr>
                <w:rFonts w:hAnsi="黑体" w:eastAsia="黑体"/>
                <w:color w:val="000000"/>
                <w:kern w:val="0"/>
                <w:sz w:val="21"/>
                <w:szCs w:val="21"/>
              </w:rPr>
              <w:t>文</w:t>
            </w:r>
            <w:r>
              <w:rPr>
                <w:rFonts w:hint="eastAsia" w:hAnsi="黑体" w:eastAsia="黑体"/>
                <w:color w:val="000000"/>
                <w:kern w:val="0"/>
                <w:sz w:val="21"/>
                <w:szCs w:val="21"/>
              </w:rPr>
              <w:t>字</w:t>
            </w:r>
            <w:r>
              <w:rPr>
                <w:rFonts w:hAnsi="黑体" w:eastAsia="黑体"/>
                <w:color w:val="000000"/>
                <w:kern w:val="0"/>
                <w:sz w:val="21"/>
                <w:szCs w:val="21"/>
              </w:rPr>
              <w:t>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黑体"/>
                <w:color w:val="000000"/>
                <w:sz w:val="21"/>
                <w:szCs w:val="21"/>
              </w:rPr>
            </w:pPr>
            <w:r>
              <w:rPr>
                <w:rFonts w:hAnsi="黑体" w:eastAsia="黑体"/>
                <w:color w:val="000000"/>
                <w:kern w:val="0"/>
                <w:sz w:val="21"/>
                <w:szCs w:val="21"/>
              </w:rPr>
              <w:t>施行日期</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黑体"/>
                <w:color w:val="000000"/>
                <w:sz w:val="21"/>
                <w:szCs w:val="21"/>
              </w:rPr>
            </w:pPr>
            <w:r>
              <w:rPr>
                <w:rFonts w:hAnsi="黑体" w:eastAsia="黑体"/>
                <w:color w:val="000000"/>
                <w:kern w:val="0"/>
                <w:sz w:val="21"/>
                <w:szCs w:val="21"/>
              </w:rPr>
              <w:t>有效期</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黑体"/>
                <w:color w:val="000000"/>
                <w:sz w:val="21"/>
                <w:szCs w:val="21"/>
              </w:rPr>
            </w:pPr>
            <w:r>
              <w:rPr>
                <w:rFonts w:hAnsi="黑体" w:eastAsia="黑体"/>
                <w:color w:val="000000"/>
                <w:kern w:val="0"/>
                <w:sz w:val="21"/>
                <w:szCs w:val="21"/>
              </w:rPr>
              <w:t>失效日期</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黑体"/>
                <w:color w:val="000000"/>
                <w:sz w:val="21"/>
                <w:szCs w:val="21"/>
              </w:rPr>
            </w:pPr>
            <w:r>
              <w:rPr>
                <w:rFonts w:hAnsi="黑体" w:eastAsia="黑体"/>
                <w:color w:val="000000"/>
                <w:kern w:val="0"/>
                <w:sz w:val="21"/>
                <w:szCs w:val="21"/>
              </w:rPr>
              <w:t>清理结果</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eastAsia="黑体"/>
                <w:color w:val="000000"/>
                <w:sz w:val="21"/>
                <w:szCs w:val="21"/>
              </w:rPr>
            </w:pPr>
            <w:r>
              <w:rPr>
                <w:rFonts w:hAnsi="黑体" w:eastAsia="黑体"/>
                <w:color w:val="000000"/>
                <w:kern w:val="0"/>
                <w:sz w:val="21"/>
                <w:szCs w:val="21"/>
              </w:rPr>
              <w:t>备注</w:t>
            </w: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1</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市自然资源和规划局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遂宁市人民政府办公室关于印发《遂宁市城市风貌管理办法》的通知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遂府办发〔2020〕3号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2020.03.12</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2025.03.11</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pBdr>
                <w:bottom w:val="none" w:color="auto" w:sz="0" w:space="0"/>
              </w:pBdr>
              <w:snapToGrid/>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已修订（遂府办函〔2020〕32号）</w:t>
            </w: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2</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市自然资源和规划局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遂宁市人民政府关于印发《遂宁市工业用地弹性供应改革实施方案》的通知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遂府函〔2019〕91号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2019.08.26</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2024.08.25</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3</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市自然资源和规划局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遂宁市人民政府办公室关于印发《遂宁市城市绿线管理办法》的通知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遂府办函〔2018〕1号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2018.02.04</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2023.02.03</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4</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市自然资源和规划局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遂宁市人民政府办公室关于印发《遂宁市城市蓝线管理办法》的通知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遂府办函〔2018〕2号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2018.02.04</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2023.02.03</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5</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市自然资源和规划局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w:t>
            </w:r>
            <w:r>
              <w:rPr>
                <w:rFonts w:hint="eastAsia" w:hAnsi="仿宋_GB2312"/>
                <w:color w:val="000000"/>
                <w:spacing w:val="-4"/>
                <w:kern w:val="0"/>
                <w:sz w:val="21"/>
                <w:szCs w:val="21"/>
              </w:rPr>
              <w:t>宁市人民政府办公室关于印发《遂宁市控制性详细规划动态维护管理办法》的通知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遂府办发〔2018〕18号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2018.06.22</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2023.06.21</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6</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市自然资源和规划局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遂宁市人民政府关于进一步加强村镇规划建设管理工作的实施意见</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遂府发〔2017〕6号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2017.09.01</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2022.08.31</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7</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市经济和</w:t>
            </w:r>
          </w:p>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信息化局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遂宁市人民政府关于印发《遂宁市促进工业转型升级推动制造业高质量发展的若干政策》的通知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遂府发〔2020〕5号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2021.01.01</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3年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2023.12.31</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8</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市经济和</w:t>
            </w:r>
          </w:p>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信息化局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遂宁市人民政府办公室关于印发《遂宁市电信设施建设和保护管理暂行办法》的通知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遂府办发〔2019〕19号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2020.01.18</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2022.01.17</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9</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市经济和</w:t>
            </w:r>
          </w:p>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信息化局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遂宁市人民政府办公室关于印发《遂宁市支持锂电产业发展的若干政策》的通知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遂府办发〔2019〕10号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2019.10.20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3年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2022.10.19</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10</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市科技局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遂宁市人民政府办公室关于印发《遂宁市新型研发机构认定管理办法》的通知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遂府办发〔2020〕15号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2020.12.10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2025.12.09</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11</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市科技局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遂宁市人民政府办公室关于印发《遂宁市支持科技成果转移转化若干政策》的通知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遂府办发〔2020〕16号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2020.12.10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2025.12.09</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12</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市卫生健康委</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遂宁市人民政府办公室关于进一步做好计划生育特殊家庭扶助关怀工作的通知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遂府办函〔2020〕48号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2020.12.16</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2025.12.15</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13</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市卫生健康委</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遂宁市人民政府办公室关于落实“健康遂宁·智慧医疗”行动保障措施的通知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遂府办函〔2018〕93号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2018.07.31</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2023.07.30</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14</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市生态环境局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遂宁市人民政府关于划定高排放非道路移动机械禁止使用区的通告</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遂府通〔2018〕3号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2019.01.29</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2024.01.28</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15</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市生态环境局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遂宁市人民政府办公室关于印发《遂宁市生态环境违法行为举报奖励办法》的通知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遂府办发〔2019〕20号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2020.01.27</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3年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2023.01.26</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已修订（遂府办函〔2021〕6号）</w:t>
            </w: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16</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市人力资源</w:t>
            </w:r>
          </w:p>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社会保障局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遂宁市人民政府办公室关于印发《遂宁市促进返乡下乡创业二十二条措施》的通知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遂府办发〔2019〕3号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2019.03.01</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2024.02.29</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17</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市人力资源</w:t>
            </w:r>
          </w:p>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社会保障局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遂宁市人民政府关于做好就业创业工作的实施意见</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遂府发〔2017〕17号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2018.01.27</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2023.01.26</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18</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市人力资源</w:t>
            </w:r>
          </w:p>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社会保障局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遂宁市人民政府办公室关于印发《遂宁市学术和技术带头人评定管理办法》《遂宁市学术和技术带头人后备人选评定管理办法》的通知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遂府办函〔2019〕60号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2019.08.01</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2024.07.31</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19</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市公安局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遂宁市人民政府办公室关于印发《遂宁市电动自行车管理办法》的通知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遂府办发〔2019〕4号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2019.04.15</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2024.04.14</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20</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市公安局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遂宁市人民政府办公室关于印发《遂宁市市城区机动车停放管理办法（试行）》的通知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遂府办发〔2019〕7号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2019.08.02</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2021.08.01</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已修订（遂府办函〔2020〕1号）</w:t>
            </w: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21</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市公安局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遂宁市人民政府办公室关于印发《遂宁市城市道路交通安全设施管理办法》的通知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遂府办发〔2019〕8号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2019.09.01</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2024.08.31</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22</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市住房城乡</w:t>
            </w:r>
          </w:p>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建设局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遂宁市人民政府关于促进建筑业加快发展的意见</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遂府发〔2019〕7号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2019.09.22</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3年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2022.09.21</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pBdr>
                <w:bottom w:val="none" w:color="auto" w:sz="0" w:space="0"/>
              </w:pBdr>
              <w:snapToGrid/>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已修订（遂府函〔2020〕4号）</w:t>
            </w: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23</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市住房城乡</w:t>
            </w:r>
          </w:p>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建设局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遂宁市人民政府办公室关于印发《遂宁市市城区国有土地上房屋征收与补偿实施办法》的通知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遂府办发〔2019〕9号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2019.09.27</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2024.09.26</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24</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市住房城乡建设局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遂宁市人民政府办公室关于印发《遂宁市城市地下综合管廊管理办法》的通知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遂府办发〔2018〕22号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2018.08.10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2023.08.09</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25</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市住房城乡</w:t>
            </w:r>
          </w:p>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建设局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遂宁市人民政府办公室关于印发《遂宁市城市节约用水管理办法》的通知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遂府办发〔2018〕27号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2018.08.25</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2023.08.24</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26</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市住房城乡</w:t>
            </w:r>
          </w:p>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建设局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遂宁市人民政府办公室关于印发《遂宁市建筑垃圾管理办法》的通知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遂府办发〔2019〕15号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2019.12.17</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2024.12.16</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27</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市住房城乡</w:t>
            </w:r>
          </w:p>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建设局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遂宁市人民政府办公室关于印发《遂宁市城市污水排入排水管网许可管理办法》的通知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遂府办发〔2018〕28号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2018.08.25</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2023.08.24</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28</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市住房城乡</w:t>
            </w:r>
          </w:p>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建设局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遂宁市人民政府办公室关于印发《遂宁市政府投资非经营性项目代建管理办法》的通知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遂府办发〔2017〕23号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2018.01.07</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2023.01.06</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29</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市经济合作局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遂宁市人民政府办公室关于印发《遂宁市购买工业项目招商引资劳务的实施意见》的通知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遂府办发〔2018〕17号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2018.06.18</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2023.06.17</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30</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市经济合作局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Ansi="仿宋_GB2312"/>
                <w:color w:val="000000"/>
                <w:kern w:val="0"/>
                <w:sz w:val="21"/>
                <w:szCs w:val="21"/>
              </w:rPr>
            </w:pPr>
            <w:r>
              <w:rPr>
                <w:rFonts w:hint="eastAsia" w:hAnsi="仿宋_GB2312"/>
                <w:color w:val="000000"/>
                <w:kern w:val="0"/>
                <w:sz w:val="21"/>
                <w:szCs w:val="21"/>
              </w:rPr>
              <w:t>遂宁市人民政府关于印发《遂宁市荣誉市民评审办法》的通知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遂府函〔2017〕160号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2017.10.01</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2022.09.30</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31</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市市场监管局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遂宁市人民政府办公室关于开展药品上市许可持有人制度试点和仿制药质量及疗效一致性评价工作的通知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遂府办函〔2017〕223号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2017.08.22</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commentRangeStart w:id="0"/>
            <w:r>
              <w:rPr>
                <w:rFonts w:hint="eastAsia" w:hAnsi="仿宋_GB2312"/>
                <w:color w:val="000000"/>
                <w:kern w:val="0"/>
                <w:sz w:val="21"/>
                <w:szCs w:val="21"/>
              </w:rPr>
              <w:t>2022.08.21</w:t>
            </w:r>
            <w:commentRangeEnd w:id="0"/>
            <w:r>
              <w:commentReference w:id="0"/>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32</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市市场监管局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遂宁市人民政府办公室关于印发《遂宁市先进质量管理方法标杆企业评定办法》的通知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遂府办发〔2018〕30号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2019.01.01</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3年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2021.12.31</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33</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市民政局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遂宁市人民政府办公室关于印发《遂宁市新建住宅小区社区综合服务用房无偿移交管理办法》的通知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遂府办发〔2018〕38号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2019.02.01</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2024.01.31</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34</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市民政局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遂宁市人民政府办公室关于印发《遂宁市惠民殡葬实施办法》的通知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遂府办函〔2018〕157号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2019.01.24</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2024.01.23</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35</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市残联</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遂宁市人民政府办公室关于印发《遂宁市促进残疾人就业创业办法》的通知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遂府办发〔2018〕31号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2018.12.06</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2023.12.05</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36</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市残联</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遂宁市人民政府办公室关于印发《遂宁市残疾学生助学金制度实施方案》的通知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遂府办函〔2017〕201号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2017.09.01</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2022.08.31</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37</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市文化广电</w:t>
            </w:r>
          </w:p>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旅游局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Ansi="仿宋_GB2312"/>
                <w:color w:val="000000"/>
                <w:kern w:val="0"/>
                <w:sz w:val="21"/>
                <w:szCs w:val="21"/>
              </w:rPr>
            </w:pPr>
            <w:r>
              <w:rPr>
                <w:rFonts w:hint="eastAsia" w:hAnsi="仿宋_GB2312"/>
                <w:color w:val="000000"/>
                <w:kern w:val="0"/>
                <w:sz w:val="21"/>
                <w:szCs w:val="21"/>
              </w:rPr>
              <w:t>遂宁市人民政府关于进一步加强文物工作的实施意见</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遂府发〔2018〕1号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2018.02.05</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2023.02.04</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38</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市司法局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Ansi="仿宋_GB2312"/>
                <w:color w:val="000000"/>
                <w:kern w:val="0"/>
                <w:sz w:val="21"/>
                <w:szCs w:val="21"/>
              </w:rPr>
            </w:pPr>
            <w:r>
              <w:rPr>
                <w:rFonts w:hint="eastAsia" w:hAnsi="仿宋_GB2312"/>
                <w:color w:val="000000"/>
                <w:kern w:val="0"/>
                <w:sz w:val="21"/>
                <w:szCs w:val="21"/>
              </w:rPr>
              <w:t>遂宁市人民政府关于印发《遂宁市行政规范性文件管理细则》的通知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遂府发〔2018〕8号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2018.05.22</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2023.05.21</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39</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市教育体育局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遂宁市人民政府办公室关于印发《遂宁籍运动员参加国际国内重大比赛奖励办法》的通知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遂府办发〔2018〕14号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2018.06.04</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2023.06.03</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40</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市商务局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遂宁市人民政府办公室关于印发《遂宁市鼓励现代物流业发展十条措施》的通知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遂府办函〔2018〕150号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2019.01.10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3年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2022.01.09</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41</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市发展改革委</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遂宁市人民政府办公室关于进一步完善社会救助和保障标准与物价上涨挂钩联动机制的通知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遂府办函〔2017〕52号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2017.03.01</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commentRangeStart w:id="1"/>
            <w:r>
              <w:rPr>
                <w:rFonts w:hint="eastAsia" w:hAnsi="仿宋_GB2312"/>
                <w:color w:val="000000"/>
                <w:kern w:val="0"/>
                <w:sz w:val="21"/>
                <w:szCs w:val="21"/>
              </w:rPr>
              <w:t>2022.02.28</w:t>
            </w:r>
            <w:commentRangeEnd w:id="1"/>
            <w:r>
              <w:commentReference w:id="1"/>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42</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市扶贫开发局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 南充市人民政府 绵阳市人民政府关于印发四川省蓬溪船山灌区工程建设征地移民安置实施办法的通知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遂府函〔2016〕287号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2016.11.22</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2021.11.21</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43</w:t>
            </w:r>
          </w:p>
        </w:tc>
        <w:tc>
          <w:tcPr>
            <w:tcW w:w="135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市城管执法局</w:t>
            </w:r>
          </w:p>
        </w:tc>
        <w:tc>
          <w:tcPr>
            <w:tcW w:w="378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遂宁市人民政府办公室关于印发《遂宁市市容环境卫生责任区管理办法》等4个文件的通知</w:t>
            </w:r>
          </w:p>
        </w:tc>
        <w:tc>
          <w:tcPr>
            <w:tcW w:w="232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遂府办发〔2019〕14号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《遂宁市市容环境卫生责任区管理办法》：2019.12.07</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2024.12.06</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eastAsia="宋体"/>
                <w:kern w:val="0"/>
                <w:sz w:val="21"/>
                <w:szCs w:val="21"/>
              </w:rPr>
              <w:t>44</w:t>
            </w:r>
          </w:p>
        </w:tc>
        <w:tc>
          <w:tcPr>
            <w:tcW w:w="135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p>
        </w:tc>
        <w:tc>
          <w:tcPr>
            <w:tcW w:w="37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p>
        </w:tc>
        <w:tc>
          <w:tcPr>
            <w:tcW w:w="23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《遂宁市农（集）贸市场管理办法》：2019.12.07</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2024.12.06</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eastAsia="宋体"/>
                <w:kern w:val="0"/>
                <w:sz w:val="21"/>
                <w:szCs w:val="21"/>
              </w:rPr>
              <w:t>45</w:t>
            </w:r>
          </w:p>
        </w:tc>
        <w:tc>
          <w:tcPr>
            <w:tcW w:w="135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p>
        </w:tc>
        <w:tc>
          <w:tcPr>
            <w:tcW w:w="37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p>
        </w:tc>
        <w:tc>
          <w:tcPr>
            <w:tcW w:w="23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《遂宁市违法建设治理办法（试行）》：2019.12.07</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2021.12.06</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eastAsia="宋体"/>
                <w:kern w:val="0"/>
                <w:sz w:val="21"/>
                <w:szCs w:val="21"/>
              </w:rPr>
              <w:t>46</w:t>
            </w:r>
          </w:p>
        </w:tc>
        <w:tc>
          <w:tcPr>
            <w:tcW w:w="135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p>
        </w:tc>
        <w:tc>
          <w:tcPr>
            <w:tcW w:w="378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p>
        </w:tc>
        <w:tc>
          <w:tcPr>
            <w:tcW w:w="23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《遂宁市互联网租赁自行车管理办法（试行）》：2019.12.07</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2021.12.06</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47</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市金融</w:t>
            </w:r>
          </w:p>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工作局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遂宁市人民政府办公室关于印发《支持遂宁市金融业集聚发展若干政策》的通知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遂府办发〔2021〕2号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2021.03.26</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3年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2024.03.25</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48</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市政务服务和大数据局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遂宁市人民政府办公室关于印发《遂宁市工业项目“容缺预审”实施方案（试行）》的通知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遂府办发〔2019〕21号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2020.01.30</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2022.01.29</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49</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市应急局</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遂宁市人民政府办公室关于印发《遂宁市安全生产领域举报奖励办法》的通知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遂府办发〔2019〕1号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2019.02.16</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2024.02.15</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已修订（遂府办文〔2019〕47号）</w:t>
            </w: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50</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市科协</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遂宁市人民政府关于印发《遂宁市青少年科技创新成果市长奖评选管理办法》的通知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遂府函〔2019〕72号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2019.07.24</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2024.07.23</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51</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市社科联</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遂宁市人民政府关于印发《遂宁市社会科学优秀成果评选奖励办法》的通知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遂府函〔2017〕173号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2018.01.01</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2022.12.31</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r>
        <w:tblPrEx>
          <w:tblCellMar>
            <w:top w:w="15" w:type="dxa"/>
            <w:left w:w="15" w:type="dxa"/>
            <w:bottom w:w="15" w:type="dxa"/>
            <w:right w:w="15" w:type="dxa"/>
          </w:tblCellMar>
        </w:tblPrEx>
        <w:tc>
          <w:tcPr>
            <w:tcW w:w="42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宋体"/>
                <w:kern w:val="0"/>
                <w:sz w:val="21"/>
                <w:szCs w:val="21"/>
              </w:rPr>
            </w:pPr>
            <w:r>
              <w:rPr>
                <w:rFonts w:eastAsia="宋体"/>
                <w:kern w:val="0"/>
                <w:sz w:val="21"/>
                <w:szCs w:val="21"/>
              </w:rPr>
              <w:t>52</w:t>
            </w:r>
          </w:p>
        </w:tc>
        <w:tc>
          <w:tcPr>
            <w:tcW w:w="13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人行市中心</w:t>
            </w:r>
          </w:p>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支行</w:t>
            </w:r>
          </w:p>
        </w:tc>
        <w:tc>
          <w:tcPr>
            <w:tcW w:w="378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textAlignment w:val="center"/>
              <w:rPr>
                <w:rFonts w:hAnsi="仿宋_GB2312"/>
                <w:color w:val="000000"/>
                <w:kern w:val="0"/>
                <w:sz w:val="21"/>
                <w:szCs w:val="21"/>
              </w:rPr>
            </w:pPr>
            <w:r>
              <w:rPr>
                <w:rFonts w:hint="eastAsia" w:hAnsi="仿宋_GB2312"/>
                <w:color w:val="000000"/>
                <w:kern w:val="0"/>
                <w:sz w:val="21"/>
                <w:szCs w:val="21"/>
              </w:rPr>
              <w:t>遂宁市人民政府办公室关于印发《遂宁市“守信企业红名单”评选办法》的通知</w:t>
            </w:r>
          </w:p>
        </w:tc>
        <w:tc>
          <w:tcPr>
            <w:tcW w:w="23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Ansi="仿宋_GB2312"/>
                <w:color w:val="000000"/>
                <w:kern w:val="0"/>
                <w:sz w:val="21"/>
                <w:szCs w:val="21"/>
              </w:rPr>
            </w:pPr>
            <w:r>
              <w:rPr>
                <w:rFonts w:hint="eastAsia" w:hAnsi="仿宋_GB2312"/>
                <w:color w:val="000000"/>
                <w:kern w:val="0"/>
                <w:sz w:val="21"/>
                <w:szCs w:val="21"/>
              </w:rPr>
              <w:t>遂府办发〔2017〕12号</w:t>
            </w:r>
          </w:p>
        </w:tc>
        <w:tc>
          <w:tcPr>
            <w:tcW w:w="1572"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2018.01.01</w:t>
            </w:r>
          </w:p>
        </w:tc>
        <w:tc>
          <w:tcPr>
            <w:tcW w:w="92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5年</w:t>
            </w:r>
          </w:p>
        </w:tc>
        <w:tc>
          <w:tcPr>
            <w:tcW w:w="133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2022.12.31</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Ansi="仿宋_GB2312"/>
                <w:color w:val="000000"/>
                <w:kern w:val="0"/>
                <w:sz w:val="21"/>
                <w:szCs w:val="21"/>
              </w:rPr>
            </w:pPr>
            <w:r>
              <w:rPr>
                <w:rFonts w:hint="eastAsia" w:hAnsi="仿宋_GB2312"/>
                <w:color w:val="000000"/>
                <w:kern w:val="0"/>
                <w:sz w:val="21"/>
                <w:szCs w:val="21"/>
              </w:rPr>
              <w:t>继续有效</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Ansi="仿宋_GB2312"/>
                <w:color w:val="000000"/>
                <w:kern w:val="0"/>
                <w:sz w:val="21"/>
                <w:szCs w:val="21"/>
              </w:rPr>
            </w:pPr>
          </w:p>
        </w:tc>
      </w:tr>
    </w:tbl>
    <w:p>
      <w:pPr>
        <w:wordWrap w:val="0"/>
        <w:spacing w:line="620" w:lineRule="exact"/>
        <w:jc w:val="both"/>
        <w:sectPr>
          <w:footerReference r:id="rId5" w:type="default"/>
          <w:footerReference r:id="rId6" w:type="even"/>
          <w:pgSz w:w="16838" w:h="11906" w:orient="landscape"/>
          <w:pgMar w:top="1418" w:right="1531" w:bottom="1418" w:left="1531" w:header="851" w:footer="992" w:gutter="0"/>
          <w:cols w:space="425" w:num="1"/>
          <w:docGrid w:type="lines" w:linePitch="626" w:charSpace="0"/>
        </w:sectPr>
      </w:pPr>
    </w:p>
    <w:p>
      <w:pPr>
        <w:widowControl/>
        <w:jc w:val="both"/>
        <w:textAlignment w:val="center"/>
        <w:rPr>
          <w:rFonts w:hAnsi="仿宋_GB2312"/>
          <w:color w:val="000000"/>
          <w:kern w:val="0"/>
          <w:sz w:val="21"/>
          <w:szCs w:val="21"/>
        </w:rPr>
      </w:pPr>
      <w:r>
        <w:br w:type="page"/>
      </w:r>
    </w:p>
    <w:sectPr>
      <w:footerReference r:id="rId7" w:type="default"/>
      <w:pgSz w:w="16838" w:h="11906" w:orient="landscape"/>
      <w:pgMar w:top="1418" w:right="1531" w:bottom="1418" w:left="1531" w:header="851" w:footer="992" w:gutter="0"/>
      <w:cols w:space="425" w:num="1"/>
      <w:docGrid w:type="linesAndChars" w:linePitch="6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唐龙" w:date="2021-06-04T09:38:00Z" w:initials="">
    <w:p w14:paraId="22907142">
      <w:pPr>
        <w:pStyle w:val="2"/>
        <w:rPr>
          <w:rFonts w:eastAsia="楷体_GB2312"/>
          <w:b/>
          <w:bCs/>
        </w:rPr>
      </w:pPr>
      <w:r>
        <w:rPr>
          <w:rFonts w:eastAsia="楷体_GB2312"/>
          <w:b/>
          <w:bCs/>
        </w:rPr>
        <w:t>请核对</w:t>
      </w:r>
      <w:r>
        <w:rPr>
          <w:rFonts w:hint="eastAsia" w:eastAsia="楷体_GB2312"/>
          <w:b/>
          <w:bCs/>
        </w:rPr>
        <w:t>修改后的表述是否正确。</w:t>
      </w:r>
    </w:p>
  </w:comment>
  <w:comment w:id="1" w:author="唐龙" w:date="2021-06-04T09:29:00Z" w:initials="">
    <w:p w14:paraId="765B3BA5">
      <w:pPr>
        <w:pStyle w:val="2"/>
        <w:rPr>
          <w:rFonts w:eastAsia="楷体_GB2312"/>
          <w:b/>
          <w:bCs/>
        </w:rPr>
      </w:pPr>
      <w:r>
        <w:rPr>
          <w:rFonts w:eastAsia="楷体_GB2312"/>
          <w:b/>
          <w:bCs/>
        </w:rPr>
        <w:t>请核对</w:t>
      </w:r>
      <w:r>
        <w:rPr>
          <w:rFonts w:hint="eastAsia" w:eastAsia="楷体_GB2312"/>
          <w:b/>
          <w:bCs/>
        </w:rPr>
        <w:t>修改后的表述是否正确。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2907142" w15:done="0"/>
  <w15:commentEx w15:paraId="765B3BA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283"/>
      <w:rPr>
        <w:rStyle w:val="8"/>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w:t>
    </w:r>
    <w:r>
      <w:rPr>
        <w:rStyle w:val="8"/>
        <w:sz w:val="28"/>
        <w:szCs w:val="28"/>
      </w:rPr>
      <w:fldChar w:fldCharType="end"/>
    </w:r>
    <w:r>
      <w:rPr>
        <w:rStyle w:val="8"/>
        <w:rFonts w:hint="eastAsia"/>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460" w:y="-262"/>
      <w:rPr>
        <w:rStyle w:val="8"/>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14</w:t>
    </w:r>
    <w:r>
      <w:rPr>
        <w:rStyle w:val="8"/>
        <w:sz w:val="28"/>
        <w:szCs w:val="28"/>
      </w:rPr>
      <w:fldChar w:fldCharType="end"/>
    </w:r>
    <w:r>
      <w:rPr>
        <w:rStyle w:val="8"/>
        <w:rFonts w:hint="eastAsia"/>
        <w:sz w:val="28"/>
        <w:szCs w:val="28"/>
      </w:rPr>
      <w:t xml:space="preserve"> —</w:t>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69"/>
      <w:rPr>
        <w:rStyle w:val="8"/>
        <w:sz w:val="28"/>
        <w:szCs w:val="28"/>
      </w:rPr>
    </w:pPr>
    <w:r>
      <w:rPr>
        <w:rStyle w:val="8"/>
        <w:rFonts w:hint="eastAsia"/>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15</w:t>
    </w:r>
    <w:r>
      <w:rPr>
        <w:rStyle w:val="8"/>
        <w:sz w:val="28"/>
        <w:szCs w:val="28"/>
      </w:rPr>
      <w:fldChar w:fldCharType="end"/>
    </w:r>
    <w:r>
      <w:rPr>
        <w:rStyle w:val="8"/>
        <w:rFonts w:hint="eastAsia"/>
        <w:sz w:val="28"/>
        <w:szCs w:val="28"/>
      </w:rPr>
      <w:t xml:space="preserve"> —</w:t>
    </w:r>
  </w:p>
  <w:p>
    <w:pPr>
      <w:pStyle w:val="4"/>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唐龙">
    <w15:presenceInfo w15:providerId="None" w15:userId="唐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evenAndOddHeaders w:val="1"/>
  <w:drawingGridHorizontalSpacing w:val="160"/>
  <w:drawingGridVerticalSpacing w:val="31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10.8.200.17:8899/seeyon/officeservlet"/>
  </w:docVars>
  <w:rsids>
    <w:rsidRoot w:val="006B0AB2"/>
    <w:rsid w:val="00046493"/>
    <w:rsid w:val="001246CA"/>
    <w:rsid w:val="00214838"/>
    <w:rsid w:val="00291538"/>
    <w:rsid w:val="00325429"/>
    <w:rsid w:val="004F6440"/>
    <w:rsid w:val="006A601E"/>
    <w:rsid w:val="006B0AB2"/>
    <w:rsid w:val="006E3609"/>
    <w:rsid w:val="007141F3"/>
    <w:rsid w:val="00730BC8"/>
    <w:rsid w:val="008058DD"/>
    <w:rsid w:val="008E7293"/>
    <w:rsid w:val="00927904"/>
    <w:rsid w:val="00933753"/>
    <w:rsid w:val="0095700C"/>
    <w:rsid w:val="00962D9D"/>
    <w:rsid w:val="0098516F"/>
    <w:rsid w:val="009E1D8E"/>
    <w:rsid w:val="00A05426"/>
    <w:rsid w:val="00A7101F"/>
    <w:rsid w:val="00C14F41"/>
    <w:rsid w:val="00CB50F8"/>
    <w:rsid w:val="00E00A1F"/>
    <w:rsid w:val="00E14FE7"/>
    <w:rsid w:val="00EA23D3"/>
    <w:rsid w:val="00F06D93"/>
    <w:rsid w:val="00F8070A"/>
    <w:rsid w:val="0F620F13"/>
    <w:rsid w:val="10B40437"/>
    <w:rsid w:val="3DDDBF34"/>
    <w:rsid w:val="75E583FD"/>
    <w:rsid w:val="777A99C0"/>
    <w:rsid w:val="77FE2797"/>
    <w:rsid w:val="7E7AD18D"/>
    <w:rsid w:val="9FFFB1D3"/>
    <w:rsid w:val="BFBFCE56"/>
    <w:rsid w:val="EFDF8F4E"/>
    <w:rsid w:val="EFF3B0EE"/>
    <w:rsid w:val="F6FF1E87"/>
    <w:rsid w:val="FB7D7A1D"/>
    <w:rsid w:val="FFAF0759"/>
    <w:rsid w:val="FFFF261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annotation reference"/>
    <w:basedOn w:val="7"/>
    <w:qFormat/>
    <w:uiPriority w:val="0"/>
    <w:rPr>
      <w:sz w:val="21"/>
      <w:szCs w:val="21"/>
    </w:rPr>
  </w:style>
  <w:style w:type="character" w:customStyle="1" w:styleId="10">
    <w:name w:val="font11"/>
    <w:basedOn w:val="7"/>
    <w:qFormat/>
    <w:uiPriority w:val="0"/>
    <w:rPr>
      <w:rFonts w:ascii="仿宋" w:hAnsi="仿宋" w:eastAsia="仿宋" w:cs="仿宋"/>
      <w:color w:val="000000"/>
      <w:sz w:val="20"/>
      <w:szCs w:val="20"/>
      <w:u w:val="none"/>
    </w:rPr>
  </w:style>
  <w:style w:type="character" w:customStyle="1" w:styleId="11">
    <w:name w:val="font51"/>
    <w:basedOn w:val="7"/>
    <w:qFormat/>
    <w:uiPriority w:val="0"/>
    <w:rPr>
      <w:rFonts w:hint="eastAsia" w:ascii="宋体" w:hAnsi="宋体" w:eastAsia="宋体" w:cs="宋体"/>
      <w:color w:val="000000"/>
      <w:sz w:val="20"/>
      <w:szCs w:val="20"/>
      <w:u w:val="none"/>
    </w:rPr>
  </w:style>
  <w:style w:type="character" w:customStyle="1" w:styleId="12">
    <w:name w:val="批注框文本 Char"/>
    <w:basedOn w:val="7"/>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15</Pages>
  <Words>1620</Words>
  <Characters>9237</Characters>
  <Lines>76</Lines>
  <Paragraphs>21</Paragraphs>
  <TotalTime>1</TotalTime>
  <ScaleCrop>false</ScaleCrop>
  <LinksUpToDate>false</LinksUpToDate>
  <CharactersWithSpaces>10836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2021-06-04T05:51:00Z</dcterms:created>
  <dc:creator>dd</dc:creator>
  <cp:lastModifiedBy>乐多</cp:lastModifiedBy>
  <dcterms:modified xsi:type="dcterms:W3CDTF">2021-06-21T02:02:14Z</dcterms:modified>
  <dc:title>遂宁市人民政府</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31069BB8FF7D44EEABDE40158342D7A7</vt:lpwstr>
  </property>
</Properties>
</file>